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3119" w:type="dxa"/>
        <w:tblInd w:w="6799" w:type="dxa"/>
        <w:tblLook w:val="04A0" w:firstRow="1" w:lastRow="0" w:firstColumn="1" w:lastColumn="0" w:noHBand="0" w:noVBand="1"/>
      </w:tblPr>
      <w:tblGrid>
        <w:gridCol w:w="1076"/>
        <w:gridCol w:w="2043"/>
      </w:tblGrid>
      <w:tr w:rsidR="00E4128D" w14:paraId="4A23019E" w14:textId="77777777" w:rsidTr="003503C8">
        <w:trPr>
          <w:trHeight w:val="442"/>
        </w:trPr>
        <w:tc>
          <w:tcPr>
            <w:tcW w:w="1076" w:type="dxa"/>
            <w:tcBorders>
              <w:top w:val="single" w:sz="4" w:space="0" w:color="auto"/>
              <w:left w:val="single" w:sz="4" w:space="0" w:color="auto"/>
              <w:bottom w:val="nil"/>
              <w:right w:val="single" w:sz="4" w:space="0" w:color="auto"/>
            </w:tcBorders>
            <w:shd w:val="clear" w:color="auto" w:fill="0C5277"/>
            <w:vAlign w:val="center"/>
          </w:tcPr>
          <w:p w14:paraId="32988DE6" w14:textId="5F53585F" w:rsidR="00E4128D" w:rsidRDefault="00E4128D" w:rsidP="00DF50A8">
            <w:pPr>
              <w:tabs>
                <w:tab w:val="left" w:pos="3540"/>
              </w:tabs>
              <w:jc w:val="center"/>
              <w:rPr>
                <w:rFonts w:ascii="Rockwell" w:hAnsi="Rockwell" w:cs="Open Sans"/>
                <w:b/>
                <w:bCs/>
                <w:color w:val="0F243E" w:themeColor="text2" w:themeShade="80"/>
                <w:sz w:val="22"/>
                <w:szCs w:val="22"/>
              </w:rPr>
            </w:pPr>
            <w:permStart w:id="47470901" w:edGrp="everyone" w:colFirst="1" w:colLast="1"/>
            <w:r w:rsidRPr="00E4128D">
              <w:rPr>
                <w:rFonts w:ascii="Rockwell" w:hAnsi="Rockwell" w:cs="Open Sans"/>
                <w:b/>
                <w:bCs/>
                <w:color w:val="FFFFFF" w:themeColor="background1"/>
                <w:sz w:val="22"/>
                <w:szCs w:val="22"/>
              </w:rPr>
              <w:t>FECH</w:t>
            </w:r>
            <w:r w:rsidR="00B57892">
              <w:rPr>
                <w:rFonts w:ascii="Rockwell" w:hAnsi="Rockwell" w:cs="Open Sans"/>
                <w:b/>
                <w:bCs/>
                <w:color w:val="FFFFFF" w:themeColor="background1"/>
                <w:sz w:val="22"/>
                <w:szCs w:val="22"/>
              </w:rPr>
              <w:t>A</w:t>
            </w:r>
            <w:r w:rsidRPr="00E4128D">
              <w:rPr>
                <w:rFonts w:ascii="Rockwell" w:hAnsi="Rockwell" w:cs="Open Sans"/>
                <w:b/>
                <w:bCs/>
                <w:color w:val="FFFFFF" w:themeColor="background1"/>
                <w:sz w:val="22"/>
                <w:szCs w:val="22"/>
              </w:rPr>
              <w:t>:</w:t>
            </w:r>
          </w:p>
        </w:tc>
        <w:tc>
          <w:tcPr>
            <w:tcW w:w="2043" w:type="dxa"/>
            <w:tcBorders>
              <w:top w:val="single" w:sz="4" w:space="0" w:color="auto"/>
              <w:left w:val="single" w:sz="4" w:space="0" w:color="auto"/>
              <w:bottom w:val="nil"/>
              <w:right w:val="single" w:sz="4" w:space="0" w:color="auto"/>
            </w:tcBorders>
            <w:vAlign w:val="center"/>
          </w:tcPr>
          <w:p w14:paraId="692EF968" w14:textId="4C904C98" w:rsidR="00E4128D" w:rsidRDefault="00E32308" w:rsidP="006D46F3">
            <w:pPr>
              <w:tabs>
                <w:tab w:val="left" w:pos="3540"/>
              </w:tabs>
              <w:jc w:val="center"/>
              <w:rPr>
                <w:rFonts w:ascii="Rockwell" w:hAnsi="Rockwell" w:cs="Open Sans"/>
                <w:b/>
                <w:bCs/>
                <w:color w:val="0F243E" w:themeColor="text2" w:themeShade="80"/>
                <w:sz w:val="22"/>
                <w:szCs w:val="22"/>
              </w:rPr>
            </w:pPr>
            <w:r>
              <w:t>30/09</w:t>
            </w:r>
            <w:r w:rsidR="00CE2FC0">
              <w:t>/2026</w:t>
            </w:r>
          </w:p>
        </w:tc>
      </w:tr>
    </w:tbl>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418"/>
        <w:gridCol w:w="850"/>
        <w:gridCol w:w="142"/>
        <w:gridCol w:w="7513"/>
      </w:tblGrid>
      <w:tr w:rsidR="009D33A4" w:rsidRPr="00CF7536" w14:paraId="09DE3BB4" w14:textId="77777777" w:rsidTr="009D33A4">
        <w:trPr>
          <w:trHeight w:val="370"/>
        </w:trPr>
        <w:tc>
          <w:tcPr>
            <w:tcW w:w="10916" w:type="dxa"/>
            <w:gridSpan w:val="5"/>
            <w:tcBorders>
              <w:top w:val="single" w:sz="4" w:space="0" w:color="auto"/>
              <w:left w:val="single" w:sz="4" w:space="0" w:color="auto"/>
              <w:bottom w:val="single" w:sz="4" w:space="0" w:color="auto"/>
              <w:right w:val="single" w:sz="4" w:space="0" w:color="auto"/>
            </w:tcBorders>
            <w:shd w:val="clear" w:color="auto" w:fill="0C5277"/>
            <w:vAlign w:val="center"/>
          </w:tcPr>
          <w:permEnd w:id="47470901"/>
          <w:p w14:paraId="40E41AA0" w14:textId="544FADED" w:rsidR="009D33A4" w:rsidRPr="00650C2C" w:rsidRDefault="009D33A4" w:rsidP="00915A1D">
            <w:pPr>
              <w:pStyle w:val="Prrafodelista"/>
              <w:ind w:left="290"/>
              <w:jc w:val="center"/>
              <w:rPr>
                <w:rFonts w:ascii="Rockwell" w:hAnsi="Rockwell"/>
                <w:b/>
                <w:color w:val="FFFFFF" w:themeColor="background1"/>
              </w:rPr>
            </w:pPr>
            <w:r w:rsidRPr="00650C2C">
              <w:rPr>
                <w:rFonts w:ascii="Rockwell" w:hAnsi="Rockwell"/>
                <w:b/>
                <w:color w:val="FFFFFF" w:themeColor="background1"/>
              </w:rPr>
              <w:t>DATOS GENERALES</w:t>
            </w:r>
          </w:p>
        </w:tc>
      </w:tr>
      <w:tr w:rsidR="00D61444" w:rsidRPr="00CF7536" w14:paraId="5E55A460" w14:textId="77777777" w:rsidTr="00D61444">
        <w:trPr>
          <w:trHeight w:val="299"/>
        </w:trPr>
        <w:tc>
          <w:tcPr>
            <w:tcW w:w="10916" w:type="dxa"/>
            <w:gridSpan w:val="5"/>
            <w:tcBorders>
              <w:top w:val="single" w:sz="4" w:space="0" w:color="auto"/>
              <w:left w:val="single" w:sz="4" w:space="0" w:color="auto"/>
              <w:bottom w:val="single" w:sz="4" w:space="0" w:color="auto"/>
              <w:right w:val="single" w:sz="4" w:space="0" w:color="auto"/>
            </w:tcBorders>
            <w:vAlign w:val="center"/>
          </w:tcPr>
          <w:p w14:paraId="5295F7F0" w14:textId="5FE9F42A" w:rsidR="00D61444" w:rsidRPr="00CD15F5" w:rsidRDefault="00D61444" w:rsidP="00CF7536">
            <w:pPr>
              <w:rPr>
                <w:rFonts w:ascii="Rockwell" w:hAnsi="Rockwell" w:cs="Calibri"/>
                <w:color w:val="000000"/>
              </w:rPr>
            </w:pPr>
            <w:r>
              <w:rPr>
                <w:rFonts w:ascii="Rockwell" w:hAnsi="Rockwell" w:cs="Calibri"/>
                <w:b/>
                <w:bCs/>
                <w:color w:val="000000"/>
                <w:sz w:val="26"/>
                <w:szCs w:val="26"/>
              </w:rPr>
              <w:t>Lugar</w:t>
            </w:r>
            <w:r w:rsidRPr="00576398">
              <w:rPr>
                <w:rFonts w:ascii="Rockwell" w:hAnsi="Rockwell" w:cs="Calibri"/>
                <w:b/>
                <w:bCs/>
                <w:color w:val="000000"/>
                <w:sz w:val="26"/>
                <w:szCs w:val="26"/>
              </w:rPr>
              <w:t>:</w:t>
            </w:r>
            <w:r w:rsidRPr="00576398">
              <w:rPr>
                <w:rFonts w:ascii="Rockwell" w:hAnsi="Rockwell" w:cs="Calibri"/>
                <w:color w:val="000000"/>
              </w:rPr>
              <w:t xml:space="preserve"> </w:t>
            </w:r>
            <w:r>
              <w:rPr>
                <w:rFonts w:ascii="Rockwell" w:hAnsi="Rockwell" w:cs="Calibri"/>
                <w:color w:val="000000"/>
              </w:rPr>
              <w:t xml:space="preserve">   </w:t>
            </w:r>
            <w:r w:rsidR="00062B5A">
              <w:rPr>
                <w:rFonts w:ascii="Rockwell" w:hAnsi="Rockwell" w:cs="Calibri"/>
                <w:color w:val="000000"/>
              </w:rPr>
              <w:t>D</w:t>
            </w:r>
            <w:r>
              <w:rPr>
                <w:rFonts w:ascii="Rockwell" w:hAnsi="Rockwell" w:cs="Calibri"/>
                <w:color w:val="000000"/>
              </w:rPr>
              <w:t>C</w:t>
            </w:r>
            <w:r w:rsidRPr="00C87F84">
              <w:rPr>
                <w:rFonts w:ascii="Rockwell" w:hAnsi="Rockwell" w:cs="Calibri"/>
                <w:color w:val="000000"/>
              </w:rPr>
              <w:t xml:space="preserve">SNS </w:t>
            </w:r>
            <w:sdt>
              <w:sdtPr>
                <w:rPr>
                  <w:rFonts w:ascii="Rockwell" w:hAnsi="Rockwell" w:cs="Calibri"/>
                  <w:color w:val="000000"/>
                </w:rPr>
                <w:id w:val="1606149967"/>
                <w14:checkbox>
                  <w14:checked w14:val="0"/>
                  <w14:checkedState w14:val="2612" w14:font="MS Gothic"/>
                  <w14:uncheckedState w14:val="2610" w14:font="MS Gothic"/>
                </w14:checkbox>
              </w:sdtPr>
              <w:sdtEndPr/>
              <w:sdtContent>
                <w:permStart w:id="262679858" w:edGrp="everyone"/>
                <w:r w:rsidR="00B26A8A">
                  <w:rPr>
                    <w:rFonts w:ascii="MS Gothic" w:eastAsia="MS Gothic" w:hAnsi="MS Gothic" w:cs="Calibri" w:hint="eastAsia"/>
                    <w:color w:val="000000"/>
                  </w:rPr>
                  <w:t>☐</w:t>
                </w:r>
                <w:permEnd w:id="262679858"/>
              </w:sdtContent>
            </w:sdt>
            <w:r w:rsidR="00062B5A">
              <w:rPr>
                <w:rFonts w:ascii="Rockwell" w:hAnsi="Rockwell" w:cs="Calibri"/>
                <w:color w:val="000000"/>
              </w:rPr>
              <w:t xml:space="preserve">  </w:t>
            </w:r>
            <w:r>
              <w:rPr>
                <w:rFonts w:ascii="Rockwell" w:hAnsi="Rockwell" w:cs="Calibri"/>
                <w:color w:val="000000"/>
              </w:rPr>
              <w:t>S</w:t>
            </w:r>
            <w:r w:rsidRPr="00C87F84">
              <w:rPr>
                <w:rFonts w:ascii="Rockwell" w:hAnsi="Rockwell" w:cs="Calibri"/>
                <w:color w:val="000000"/>
              </w:rPr>
              <w:t>RS</w:t>
            </w:r>
            <w:r>
              <w:rPr>
                <w:rFonts w:ascii="Rockwell" w:hAnsi="Rockwell" w:cs="Calibri"/>
                <w:color w:val="000000"/>
              </w:rPr>
              <w:t xml:space="preserve"> </w:t>
            </w:r>
            <w:sdt>
              <w:sdtPr>
                <w:rPr>
                  <w:rFonts w:ascii="Rockwell" w:hAnsi="Rockwell" w:cs="Calibri"/>
                  <w:color w:val="000000"/>
                </w:rPr>
                <w:id w:val="-522316054"/>
                <w14:checkbox>
                  <w14:checked w14:val="0"/>
                  <w14:checkedState w14:val="2612" w14:font="MS Gothic"/>
                  <w14:uncheckedState w14:val="2610" w14:font="MS Gothic"/>
                </w14:checkbox>
              </w:sdtPr>
              <w:sdtEndPr/>
              <w:sdtContent>
                <w:permStart w:id="1883331042" w:edGrp="everyone"/>
                <w:r w:rsidR="00622A0A">
                  <w:rPr>
                    <w:rFonts w:ascii="MS Gothic" w:eastAsia="MS Gothic" w:hAnsi="MS Gothic" w:cs="Calibri" w:hint="eastAsia"/>
                    <w:color w:val="000000"/>
                  </w:rPr>
                  <w:t>☐</w:t>
                </w:r>
                <w:permEnd w:id="1883331042"/>
              </w:sdtContent>
            </w:sdt>
            <w:r w:rsidRPr="00C87F84">
              <w:rPr>
                <w:rFonts w:ascii="Rockwell" w:hAnsi="Rockwell" w:cs="Calibri"/>
                <w:color w:val="000000"/>
              </w:rPr>
              <w:t xml:space="preserve"> </w:t>
            </w:r>
            <w:r w:rsidR="00062B5A">
              <w:rPr>
                <w:rFonts w:ascii="Rockwell" w:hAnsi="Rockwell" w:cs="Calibri"/>
                <w:color w:val="000000"/>
              </w:rPr>
              <w:t xml:space="preserve"> Hospital</w:t>
            </w:r>
            <w:r>
              <w:rPr>
                <w:rFonts w:ascii="Rockwell" w:hAnsi="Rockwell" w:cs="Calibri"/>
                <w:color w:val="000000"/>
              </w:rPr>
              <w:t xml:space="preserve"> </w:t>
            </w:r>
            <w:sdt>
              <w:sdtPr>
                <w:rPr>
                  <w:rFonts w:ascii="Rockwell" w:hAnsi="Rockwell" w:cs="Calibri"/>
                  <w:color w:val="000000"/>
                </w:rPr>
                <w:id w:val="-225000551"/>
                <w14:checkbox>
                  <w14:checked w14:val="1"/>
                  <w14:checkedState w14:val="2612" w14:font="MS Gothic"/>
                  <w14:uncheckedState w14:val="2610" w14:font="MS Gothic"/>
                </w14:checkbox>
              </w:sdtPr>
              <w:sdtEndPr/>
              <w:sdtContent>
                <w:permStart w:id="481433411" w:edGrp="everyone"/>
                <w:r w:rsidR="00622A0A">
                  <w:rPr>
                    <w:rFonts w:ascii="MS Gothic" w:eastAsia="MS Gothic" w:hAnsi="MS Gothic" w:cs="Calibri" w:hint="eastAsia"/>
                    <w:color w:val="000000"/>
                  </w:rPr>
                  <w:t>☒</w:t>
                </w:r>
                <w:permEnd w:id="481433411"/>
              </w:sdtContent>
            </w:sdt>
            <w:r w:rsidR="00062B5A">
              <w:rPr>
                <w:rFonts w:ascii="Rockwell" w:hAnsi="Rockwell" w:cs="Calibri"/>
                <w:color w:val="000000"/>
              </w:rPr>
              <w:t xml:space="preserve">  CPN</w:t>
            </w:r>
            <w:r>
              <w:rPr>
                <w:rFonts w:ascii="Rockwell" w:hAnsi="Rockwell" w:cs="Calibri"/>
                <w:color w:val="000000"/>
              </w:rPr>
              <w:t xml:space="preserve"> </w:t>
            </w:r>
            <w:permStart w:id="165244464" w:edGrp="everyone"/>
            <w:sdt>
              <w:sdtPr>
                <w:rPr>
                  <w:rFonts w:ascii="Rockwell" w:hAnsi="Rockwell" w:cs="Calibri"/>
                  <w:color w:val="000000"/>
                </w:rPr>
                <w:id w:val="1089965431"/>
                <w14:checkbox>
                  <w14:checked w14:val="0"/>
                  <w14:checkedState w14:val="2612" w14:font="MS Gothic"/>
                  <w14:uncheckedState w14:val="2610" w14:font="MS Gothic"/>
                </w14:checkbox>
              </w:sdtPr>
              <w:sdtEndPr/>
              <w:sdtContent>
                <w:r w:rsidR="00B26A8A">
                  <w:rPr>
                    <w:rFonts w:ascii="MS Gothic" w:eastAsia="MS Gothic" w:hAnsi="MS Gothic" w:cs="Calibri" w:hint="eastAsia"/>
                    <w:color w:val="000000"/>
                  </w:rPr>
                  <w:t>☐</w:t>
                </w:r>
              </w:sdtContent>
            </w:sdt>
            <w:permEnd w:id="165244464"/>
            <w:r>
              <w:rPr>
                <w:rFonts w:ascii="Rockwell" w:hAnsi="Rockwell" w:cs="Calibri"/>
                <w:color w:val="000000"/>
              </w:rPr>
              <w:t xml:space="preserve">   </w:t>
            </w:r>
            <w:r w:rsidR="00062B5A">
              <w:rPr>
                <w:rFonts w:ascii="Rockwell" w:hAnsi="Rockwell" w:cs="Calibri"/>
                <w:color w:val="000000"/>
              </w:rPr>
              <w:t xml:space="preserve">  </w:t>
            </w:r>
          </w:p>
        </w:tc>
      </w:tr>
      <w:tr w:rsidR="00CD15F5" w:rsidRPr="00CF7536" w14:paraId="7D37F8AF" w14:textId="77777777" w:rsidTr="00CD15F5">
        <w:trPr>
          <w:trHeight w:val="299"/>
        </w:trPr>
        <w:tc>
          <w:tcPr>
            <w:tcW w:w="2411" w:type="dxa"/>
            <w:gridSpan w:val="2"/>
            <w:tcBorders>
              <w:top w:val="single" w:sz="4" w:space="0" w:color="auto"/>
              <w:left w:val="single" w:sz="4" w:space="0" w:color="auto"/>
              <w:bottom w:val="single" w:sz="4" w:space="0" w:color="auto"/>
              <w:right w:val="nil"/>
            </w:tcBorders>
            <w:vAlign w:val="center"/>
          </w:tcPr>
          <w:p w14:paraId="77EDE24B" w14:textId="77777777" w:rsidR="00CD15F5" w:rsidRDefault="00CD15F5" w:rsidP="00CF7536">
            <w:pPr>
              <w:rPr>
                <w:rFonts w:ascii="Rockwell" w:hAnsi="Rockwell" w:cs="Calibri"/>
                <w:b/>
                <w:bCs/>
                <w:color w:val="000000"/>
                <w:sz w:val="26"/>
                <w:szCs w:val="26"/>
              </w:rPr>
            </w:pPr>
            <w:permStart w:id="695232906" w:edGrp="everyone" w:colFirst="1" w:colLast="1"/>
            <w:r>
              <w:rPr>
                <w:rFonts w:ascii="Rockwell" w:hAnsi="Rockwell" w:cs="Calibri"/>
                <w:color w:val="000000"/>
              </w:rPr>
              <w:t>*Nombre del lugar:</w:t>
            </w:r>
          </w:p>
        </w:tc>
        <w:tc>
          <w:tcPr>
            <w:tcW w:w="8505" w:type="dxa"/>
            <w:gridSpan w:val="3"/>
            <w:tcBorders>
              <w:top w:val="single" w:sz="4" w:space="0" w:color="auto"/>
              <w:left w:val="nil"/>
              <w:bottom w:val="single" w:sz="4" w:space="0" w:color="auto"/>
              <w:right w:val="single" w:sz="4" w:space="0" w:color="auto"/>
            </w:tcBorders>
            <w:vAlign w:val="center"/>
          </w:tcPr>
          <w:p w14:paraId="55FA450D" w14:textId="254E5D15" w:rsidR="00CD15F5" w:rsidRDefault="00847845" w:rsidP="002F73D8">
            <w:pPr>
              <w:jc w:val="both"/>
              <w:rPr>
                <w:rFonts w:ascii="Rockwell" w:hAnsi="Rockwell" w:cs="Calibri"/>
                <w:b/>
                <w:bCs/>
                <w:color w:val="000000"/>
                <w:sz w:val="26"/>
                <w:szCs w:val="26"/>
              </w:rPr>
            </w:pPr>
            <w:r>
              <w:t>Instituto Nacional del Cáncer Rosa Emilia Sánchez Pérez de Tavares (INCART)</w:t>
            </w:r>
          </w:p>
        </w:tc>
      </w:tr>
      <w:tr w:rsidR="00CD15F5" w:rsidRPr="00CF7536" w14:paraId="2AC5598C" w14:textId="77777777" w:rsidTr="00CD15F5">
        <w:trPr>
          <w:trHeight w:val="370"/>
        </w:trPr>
        <w:tc>
          <w:tcPr>
            <w:tcW w:w="993" w:type="dxa"/>
            <w:tcBorders>
              <w:top w:val="single" w:sz="4" w:space="0" w:color="auto"/>
              <w:left w:val="single" w:sz="4" w:space="0" w:color="auto"/>
              <w:bottom w:val="single" w:sz="4" w:space="0" w:color="auto"/>
              <w:right w:val="nil"/>
            </w:tcBorders>
            <w:vAlign w:val="center"/>
          </w:tcPr>
          <w:p w14:paraId="6AC73C36" w14:textId="77777777" w:rsidR="00CD15F5" w:rsidRDefault="00CD15F5" w:rsidP="00CF7536">
            <w:pPr>
              <w:rPr>
                <w:rFonts w:ascii="Rockwell" w:hAnsi="Rockwell"/>
              </w:rPr>
            </w:pPr>
            <w:permStart w:id="1770913807" w:edGrp="everyone" w:colFirst="1" w:colLast="1"/>
            <w:permEnd w:id="695232906"/>
            <w:r w:rsidRPr="00DF50A8">
              <w:rPr>
                <w:rFonts w:ascii="Rockwell" w:hAnsi="Rockwell"/>
                <w:b/>
                <w:bCs/>
                <w:sz w:val="26"/>
                <w:szCs w:val="26"/>
              </w:rPr>
              <w:t>Área</w:t>
            </w:r>
            <w:r>
              <w:rPr>
                <w:rFonts w:ascii="Rockwell" w:hAnsi="Rockwell"/>
              </w:rPr>
              <w:t>:</w:t>
            </w:r>
          </w:p>
        </w:tc>
        <w:tc>
          <w:tcPr>
            <w:tcW w:w="9923" w:type="dxa"/>
            <w:gridSpan w:val="4"/>
            <w:tcBorders>
              <w:top w:val="single" w:sz="4" w:space="0" w:color="auto"/>
              <w:left w:val="nil"/>
              <w:bottom w:val="single" w:sz="4" w:space="0" w:color="auto"/>
              <w:right w:val="single" w:sz="4" w:space="0" w:color="auto"/>
            </w:tcBorders>
            <w:vAlign w:val="center"/>
          </w:tcPr>
          <w:p w14:paraId="5DD0B53A" w14:textId="26989110" w:rsidR="00CD15F5" w:rsidRDefault="00847845" w:rsidP="002F73D8">
            <w:pPr>
              <w:jc w:val="both"/>
              <w:rPr>
                <w:rFonts w:ascii="Rockwell" w:hAnsi="Rockwell"/>
              </w:rPr>
            </w:pPr>
            <w:r>
              <w:t>División de Formulación, Monitoreo y Evaluación de Planes, Programas y Proyectos (Planificación)</w:t>
            </w:r>
          </w:p>
        </w:tc>
      </w:tr>
      <w:tr w:rsidR="00CD15F5" w:rsidRPr="00CF7536" w14:paraId="5ABEAC5E" w14:textId="77777777" w:rsidTr="00CD15F5">
        <w:trPr>
          <w:trHeight w:val="370"/>
        </w:trPr>
        <w:tc>
          <w:tcPr>
            <w:tcW w:w="3403" w:type="dxa"/>
            <w:gridSpan w:val="4"/>
            <w:tcBorders>
              <w:top w:val="single" w:sz="4" w:space="0" w:color="auto"/>
              <w:left w:val="single" w:sz="4" w:space="0" w:color="auto"/>
              <w:bottom w:val="single" w:sz="4" w:space="0" w:color="auto"/>
              <w:right w:val="nil"/>
            </w:tcBorders>
            <w:vAlign w:val="center"/>
          </w:tcPr>
          <w:p w14:paraId="401B1D9F" w14:textId="77777777" w:rsidR="00CD15F5" w:rsidRPr="00576398" w:rsidRDefault="00CD15F5" w:rsidP="00650C2C">
            <w:pPr>
              <w:pStyle w:val="Prrafodelista"/>
              <w:ind w:left="0"/>
              <w:rPr>
                <w:rFonts w:ascii="Rockwell" w:hAnsi="Rockwell" w:cs="Calibri"/>
                <w:b/>
                <w:bCs/>
                <w:color w:val="000000"/>
                <w:sz w:val="26"/>
                <w:szCs w:val="26"/>
              </w:rPr>
            </w:pPr>
            <w:permStart w:id="1981242707" w:edGrp="everyone" w:colFirst="1" w:colLast="1"/>
            <w:permEnd w:id="1770913807"/>
            <w:r>
              <w:rPr>
                <w:rFonts w:ascii="Rockwell" w:hAnsi="Rockwell" w:cs="Calibri"/>
                <w:b/>
                <w:bCs/>
                <w:color w:val="000000"/>
                <w:sz w:val="26"/>
                <w:szCs w:val="26"/>
              </w:rPr>
              <w:t>Nombre de la Actividad:</w:t>
            </w:r>
          </w:p>
        </w:tc>
        <w:tc>
          <w:tcPr>
            <w:tcW w:w="7513" w:type="dxa"/>
            <w:tcBorders>
              <w:top w:val="single" w:sz="4" w:space="0" w:color="auto"/>
              <w:left w:val="nil"/>
              <w:bottom w:val="single" w:sz="4" w:space="0" w:color="auto"/>
              <w:right w:val="single" w:sz="4" w:space="0" w:color="auto"/>
            </w:tcBorders>
            <w:vAlign w:val="center"/>
          </w:tcPr>
          <w:p w14:paraId="64097AF3" w14:textId="09DDE60D" w:rsidR="00CD15F5" w:rsidRPr="00576398" w:rsidRDefault="00216BA9" w:rsidP="00EE52FF">
            <w:pPr>
              <w:pStyle w:val="Prrafodelista"/>
              <w:ind w:left="0"/>
              <w:jc w:val="both"/>
              <w:rPr>
                <w:rFonts w:ascii="Rockwell" w:hAnsi="Rockwell" w:cs="Calibri"/>
                <w:b/>
                <w:bCs/>
                <w:color w:val="000000"/>
                <w:sz w:val="26"/>
                <w:szCs w:val="26"/>
              </w:rPr>
            </w:pPr>
            <w:r>
              <w:t>Autoevaluación del POA 202</w:t>
            </w:r>
            <w:r w:rsidR="00CE2FC0">
              <w:t>6</w:t>
            </w:r>
            <w:r>
              <w:t>,</w:t>
            </w:r>
            <w:r w:rsidR="00847845">
              <w:t xml:space="preserve"> correspondiente </w:t>
            </w:r>
            <w:r w:rsidR="00BF14A6">
              <w:t xml:space="preserve">al </w:t>
            </w:r>
            <w:r w:rsidR="001F2C81" w:rsidRPr="001F2C81">
              <w:t xml:space="preserve">trimestre </w:t>
            </w:r>
            <w:r w:rsidR="001F2C81">
              <w:t>Julio -Septiembre</w:t>
            </w:r>
          </w:p>
        </w:tc>
      </w:tr>
      <w:tr w:rsidR="00CD15F5" w:rsidRPr="00CF7536" w14:paraId="46128A52" w14:textId="77777777" w:rsidTr="00FA5305">
        <w:trPr>
          <w:trHeight w:val="370"/>
        </w:trPr>
        <w:tc>
          <w:tcPr>
            <w:tcW w:w="3261" w:type="dxa"/>
            <w:gridSpan w:val="3"/>
            <w:tcBorders>
              <w:top w:val="single" w:sz="4" w:space="0" w:color="auto"/>
              <w:left w:val="single" w:sz="4" w:space="0" w:color="auto"/>
              <w:bottom w:val="single" w:sz="4" w:space="0" w:color="auto"/>
              <w:right w:val="nil"/>
            </w:tcBorders>
            <w:vAlign w:val="center"/>
          </w:tcPr>
          <w:p w14:paraId="7878147E" w14:textId="77777777" w:rsidR="00CD15F5" w:rsidRDefault="00CD15F5" w:rsidP="00650C2C">
            <w:pPr>
              <w:pStyle w:val="Prrafodelista"/>
              <w:ind w:left="0"/>
              <w:rPr>
                <w:rFonts w:ascii="Rockwell" w:hAnsi="Rockwell" w:cs="Calibri"/>
                <w:b/>
                <w:bCs/>
                <w:color w:val="000000"/>
                <w:sz w:val="26"/>
                <w:szCs w:val="26"/>
              </w:rPr>
            </w:pPr>
            <w:permStart w:id="361767244" w:edGrp="everyone" w:colFirst="1" w:colLast="1"/>
            <w:permEnd w:id="1981242707"/>
            <w:r>
              <w:rPr>
                <w:rFonts w:ascii="Rockwell" w:hAnsi="Rockwell" w:cs="Calibri"/>
                <w:b/>
                <w:bCs/>
                <w:color w:val="000000"/>
                <w:sz w:val="26"/>
                <w:szCs w:val="26"/>
              </w:rPr>
              <w:t xml:space="preserve">Código </w:t>
            </w:r>
            <w:r w:rsidRPr="00B23177">
              <w:rPr>
                <w:rFonts w:ascii="Rockwell" w:hAnsi="Rockwell" w:cs="Calibri"/>
                <w:b/>
                <w:bCs/>
                <w:sz w:val="26"/>
                <w:szCs w:val="26"/>
              </w:rPr>
              <w:t xml:space="preserve">POA </w:t>
            </w:r>
            <w:r w:rsidRPr="00B23177">
              <w:rPr>
                <w:rFonts w:ascii="Rockwell" w:hAnsi="Rockwell"/>
                <w:b/>
              </w:rPr>
              <w:t>(</w:t>
            </w:r>
            <w:r w:rsidRPr="00B23177">
              <w:rPr>
                <w:rFonts w:ascii="Rockwell" w:hAnsi="Rockwell"/>
                <w:b/>
                <w:sz w:val="18"/>
                <w:szCs w:val="18"/>
              </w:rPr>
              <w:t>Si aplica</w:t>
            </w:r>
            <w:r w:rsidRPr="00B23177">
              <w:rPr>
                <w:rFonts w:ascii="Rockwell" w:hAnsi="Rockwell"/>
                <w:b/>
              </w:rPr>
              <w:t>)</w:t>
            </w:r>
            <w:r>
              <w:rPr>
                <w:rFonts w:ascii="Rockwell" w:hAnsi="Rockwell"/>
                <w:b/>
              </w:rPr>
              <w:t>:</w:t>
            </w:r>
          </w:p>
        </w:tc>
        <w:tc>
          <w:tcPr>
            <w:tcW w:w="7655" w:type="dxa"/>
            <w:gridSpan w:val="2"/>
            <w:tcBorders>
              <w:top w:val="single" w:sz="4" w:space="0" w:color="auto"/>
              <w:left w:val="nil"/>
              <w:bottom w:val="single" w:sz="4" w:space="0" w:color="auto"/>
              <w:right w:val="single" w:sz="4" w:space="0" w:color="auto"/>
            </w:tcBorders>
            <w:vAlign w:val="center"/>
          </w:tcPr>
          <w:p w14:paraId="35F9AA99" w14:textId="0B30A058" w:rsidR="00CD15F5" w:rsidRDefault="00CE2FC0" w:rsidP="002F73D8">
            <w:pPr>
              <w:pStyle w:val="Prrafodelista"/>
              <w:ind w:left="0"/>
              <w:jc w:val="both"/>
              <w:rPr>
                <w:rFonts w:ascii="Rockwell" w:hAnsi="Rockwell" w:cs="Calibri"/>
                <w:b/>
                <w:bCs/>
                <w:color w:val="000000"/>
                <w:sz w:val="26"/>
                <w:szCs w:val="26"/>
              </w:rPr>
            </w:pPr>
            <w:r w:rsidRPr="00CE2FC0">
              <w:t>3.1.6.03</w:t>
            </w:r>
          </w:p>
        </w:tc>
      </w:tr>
      <w:permEnd w:id="361767244"/>
      <w:tr w:rsidR="00D61444" w:rsidRPr="00CF7536" w14:paraId="754A5426" w14:textId="77777777" w:rsidTr="00B23177">
        <w:trPr>
          <w:trHeight w:val="370"/>
        </w:trPr>
        <w:tc>
          <w:tcPr>
            <w:tcW w:w="10916" w:type="dxa"/>
            <w:gridSpan w:val="5"/>
            <w:tcBorders>
              <w:top w:val="single" w:sz="4" w:space="0" w:color="auto"/>
              <w:left w:val="nil"/>
              <w:bottom w:val="single" w:sz="4" w:space="0" w:color="auto"/>
              <w:right w:val="nil"/>
            </w:tcBorders>
            <w:vAlign w:val="center"/>
          </w:tcPr>
          <w:p w14:paraId="28F5B5C0" w14:textId="77777777" w:rsidR="00D61444" w:rsidRDefault="00D61444" w:rsidP="00650C2C">
            <w:pPr>
              <w:pStyle w:val="Prrafodelista"/>
              <w:ind w:left="0"/>
              <w:rPr>
                <w:rFonts w:ascii="Rockwell" w:hAnsi="Rockwell" w:cs="Calibri"/>
                <w:b/>
                <w:bCs/>
                <w:color w:val="000000"/>
                <w:sz w:val="26"/>
                <w:szCs w:val="26"/>
              </w:rPr>
            </w:pPr>
          </w:p>
        </w:tc>
      </w:tr>
      <w:tr w:rsidR="00650C2C" w:rsidRPr="00CF7536" w14:paraId="07FF36E1" w14:textId="77777777" w:rsidTr="00B23177">
        <w:trPr>
          <w:trHeight w:val="370"/>
        </w:trPr>
        <w:tc>
          <w:tcPr>
            <w:tcW w:w="10916" w:type="dxa"/>
            <w:gridSpan w:val="5"/>
            <w:tcBorders>
              <w:top w:val="single" w:sz="4" w:space="0" w:color="auto"/>
              <w:left w:val="single" w:sz="4" w:space="0" w:color="auto"/>
              <w:bottom w:val="single" w:sz="4" w:space="0" w:color="auto"/>
              <w:right w:val="single" w:sz="4" w:space="0" w:color="auto"/>
            </w:tcBorders>
            <w:shd w:val="clear" w:color="auto" w:fill="0C5277"/>
            <w:vAlign w:val="center"/>
          </w:tcPr>
          <w:p w14:paraId="1EB7B09D" w14:textId="1F22E585" w:rsidR="00650C2C" w:rsidRPr="00650C2C" w:rsidRDefault="00650C2C" w:rsidP="00650C2C">
            <w:pPr>
              <w:pStyle w:val="Prrafodelista"/>
              <w:ind w:left="290"/>
              <w:jc w:val="center"/>
              <w:rPr>
                <w:rFonts w:ascii="Rockwell" w:hAnsi="Rockwell" w:cs="Calibri"/>
                <w:b/>
                <w:bCs/>
                <w:color w:val="FFFFFF" w:themeColor="background1"/>
                <w:sz w:val="30"/>
                <w:szCs w:val="30"/>
              </w:rPr>
            </w:pPr>
            <w:r w:rsidRPr="00650C2C">
              <w:rPr>
                <w:rFonts w:ascii="Rockwell" w:hAnsi="Rockwell" w:cs="Calibri"/>
                <w:b/>
                <w:bCs/>
                <w:color w:val="FFFFFF" w:themeColor="background1"/>
              </w:rPr>
              <w:t>I</w:t>
            </w:r>
            <w:r>
              <w:rPr>
                <w:rFonts w:ascii="Rockwell" w:hAnsi="Rockwell" w:cs="Calibri"/>
                <w:b/>
                <w:bCs/>
                <w:color w:val="FFFFFF" w:themeColor="background1"/>
              </w:rPr>
              <w:t>NTRODUCCIÓN</w:t>
            </w:r>
          </w:p>
        </w:tc>
      </w:tr>
      <w:tr w:rsidR="00EF064A" w:rsidRPr="00CF7536" w14:paraId="4263CEF7" w14:textId="77777777" w:rsidTr="007224D1">
        <w:trPr>
          <w:trHeight w:val="504"/>
        </w:trPr>
        <w:tc>
          <w:tcPr>
            <w:tcW w:w="10916" w:type="dxa"/>
            <w:gridSpan w:val="5"/>
            <w:tcBorders>
              <w:top w:val="single" w:sz="4" w:space="0" w:color="auto"/>
              <w:left w:val="single" w:sz="4" w:space="0" w:color="auto"/>
              <w:bottom w:val="single" w:sz="4" w:space="0" w:color="auto"/>
              <w:right w:val="single" w:sz="4" w:space="0" w:color="auto"/>
            </w:tcBorders>
            <w:vAlign w:val="center"/>
          </w:tcPr>
          <w:p w14:paraId="1BBEA43B" w14:textId="144F72EA" w:rsidR="003C6FEB" w:rsidRPr="003C6FEB" w:rsidRDefault="003C6FEB" w:rsidP="002A1862">
            <w:pPr>
              <w:jc w:val="both"/>
              <w:rPr>
                <w:rFonts w:eastAsia="Arial"/>
              </w:rPr>
            </w:pPr>
            <w:permStart w:id="977080735" w:edGrp="everyone" w:colFirst="0" w:colLast="0"/>
            <w:r w:rsidRPr="003C6FEB">
              <w:rPr>
                <w:rFonts w:eastAsia="Arial"/>
              </w:rPr>
              <w:t xml:space="preserve">El presente informe tiene como propósito dar seguimiento, monitorear y evaluar el nivel de ejecución de las actividades programadas por las distintas áreas responsables del Instituto Nacional del Cáncer Rosa Emilia Sánchez Pérez de Tavares (INCART), correspondientes </w:t>
            </w:r>
            <w:r w:rsidR="001F2C81">
              <w:t xml:space="preserve">al </w:t>
            </w:r>
            <w:r w:rsidR="001F2C81" w:rsidRPr="001F2C81">
              <w:t xml:space="preserve">trimestre </w:t>
            </w:r>
            <w:r w:rsidR="001F2C81">
              <w:t>Julio -Septiembre</w:t>
            </w:r>
            <w:r w:rsidR="001F2C81" w:rsidRPr="003C6FEB">
              <w:rPr>
                <w:rFonts w:eastAsia="Arial"/>
              </w:rPr>
              <w:t xml:space="preserve"> </w:t>
            </w:r>
            <w:r w:rsidRPr="003C6FEB">
              <w:rPr>
                <w:rFonts w:eastAsia="Arial"/>
              </w:rPr>
              <w:t>del año 2026, en el marco del Plan Operativo Anual (POA).</w:t>
            </w:r>
          </w:p>
          <w:p w14:paraId="7BAF3F0D" w14:textId="77777777" w:rsidR="003C6FEB" w:rsidRPr="003C6FEB" w:rsidRDefault="003C6FEB" w:rsidP="002A1862">
            <w:pPr>
              <w:jc w:val="both"/>
              <w:rPr>
                <w:rFonts w:eastAsia="Arial"/>
              </w:rPr>
            </w:pPr>
          </w:p>
          <w:p w14:paraId="0D12CAD7" w14:textId="349CC93E" w:rsidR="003C6FEB" w:rsidRPr="003C6FEB" w:rsidRDefault="003C6FEB" w:rsidP="002A1862">
            <w:pPr>
              <w:jc w:val="both"/>
              <w:rPr>
                <w:rFonts w:eastAsia="Arial"/>
              </w:rPr>
            </w:pPr>
            <w:r w:rsidRPr="003C6FEB">
              <w:rPr>
                <w:rFonts w:eastAsia="Arial"/>
              </w:rPr>
              <w:t>Este proceso permite verificar el cumplimiento de las actividades y los productos programados, revisar las evidencias que sustentan su ejecución e identificar oportunamente las situaciones que puedan afectar el logro de las metas institucionales.</w:t>
            </w:r>
          </w:p>
          <w:p w14:paraId="24FC49FD" w14:textId="77777777" w:rsidR="003C6FEB" w:rsidRPr="003C6FEB" w:rsidRDefault="003C6FEB" w:rsidP="002A1862">
            <w:pPr>
              <w:jc w:val="both"/>
              <w:rPr>
                <w:rFonts w:eastAsia="Arial"/>
              </w:rPr>
            </w:pPr>
          </w:p>
          <w:p w14:paraId="6A05A809" w14:textId="7DAF2501" w:rsidR="00BA46C5" w:rsidRPr="00847845" w:rsidRDefault="003C6FEB" w:rsidP="002A1862">
            <w:pPr>
              <w:jc w:val="both"/>
            </w:pPr>
            <w:r w:rsidRPr="003C6FEB">
              <w:rPr>
                <w:rFonts w:eastAsia="Arial"/>
              </w:rPr>
              <w:t>Los resultados presentados constituyen un insumo para valorar el avance de la planificación institucional y establecer acciones de mejora orientadas al cumplimiento de los objetivos y resultados previstos para el año 2026.</w:t>
            </w:r>
          </w:p>
        </w:tc>
      </w:tr>
      <w:permEnd w:id="977080735"/>
    </w:tbl>
    <w:p w14:paraId="5A39BBE3" w14:textId="41CCAB9D" w:rsidR="00EF064A" w:rsidRPr="00CF7536" w:rsidRDefault="00EF064A" w:rsidP="002A1862">
      <w:pPr>
        <w:spacing w:line="168" w:lineRule="auto"/>
        <w:jc w:val="both"/>
        <w:rPr>
          <w:rFonts w:ascii="Rockwell" w:hAnsi="Rockwell"/>
        </w:rPr>
      </w:pPr>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16"/>
      </w:tblGrid>
      <w:tr w:rsidR="004B0874" w:rsidRPr="00CF7536" w14:paraId="02B3DBEB" w14:textId="77777777" w:rsidTr="00650C2C">
        <w:trPr>
          <w:trHeight w:val="366"/>
        </w:trPr>
        <w:tc>
          <w:tcPr>
            <w:tcW w:w="10916" w:type="dxa"/>
            <w:shd w:val="clear" w:color="auto" w:fill="0C5277"/>
            <w:vAlign w:val="center"/>
          </w:tcPr>
          <w:p w14:paraId="17B37B98" w14:textId="63BE3EBB" w:rsidR="004B0874" w:rsidRPr="00650C2C" w:rsidRDefault="00650C2C" w:rsidP="002A1862">
            <w:pPr>
              <w:pStyle w:val="Prrafodelista"/>
              <w:ind w:left="289"/>
              <w:contextualSpacing w:val="0"/>
              <w:jc w:val="both"/>
              <w:rPr>
                <w:rFonts w:ascii="Rockwell" w:hAnsi="Rockwell"/>
                <w:b/>
                <w:color w:val="FFFFFF" w:themeColor="background1"/>
              </w:rPr>
            </w:pPr>
            <w:r w:rsidRPr="00650C2C">
              <w:rPr>
                <w:rFonts w:ascii="Rockwell" w:hAnsi="Rockwell"/>
                <w:b/>
                <w:color w:val="FFFFFF" w:themeColor="background1"/>
              </w:rPr>
              <w:t>OBJETIVO</w:t>
            </w:r>
            <w:r w:rsidR="00F622B6" w:rsidRPr="00650C2C">
              <w:rPr>
                <w:rFonts w:ascii="Rockwell" w:hAnsi="Rockwell"/>
                <w:b/>
                <w:color w:val="FFFFFF" w:themeColor="background1"/>
              </w:rPr>
              <w:t xml:space="preserve"> DEL INFORME</w:t>
            </w:r>
          </w:p>
        </w:tc>
      </w:tr>
      <w:tr w:rsidR="004B0874" w:rsidRPr="00CF7536" w14:paraId="604267C4" w14:textId="77777777" w:rsidTr="007224D1">
        <w:trPr>
          <w:trHeight w:val="589"/>
        </w:trPr>
        <w:tc>
          <w:tcPr>
            <w:tcW w:w="10916" w:type="dxa"/>
          </w:tcPr>
          <w:p w14:paraId="62486C05" w14:textId="748022EA" w:rsidR="005566F9" w:rsidRPr="003C6FEB" w:rsidRDefault="003C6FEB" w:rsidP="002A1862">
            <w:pPr>
              <w:jc w:val="both"/>
            </w:pPr>
            <w:permStart w:id="27145716" w:edGrp="everyone"/>
            <w:r w:rsidRPr="003C6FEB">
              <w:rPr>
                <w:color w:val="0D0D0D"/>
                <w:shd w:val="clear" w:color="auto" w:fill="FCFCFC"/>
              </w:rPr>
              <w:t>Evaluar el nivel de cumplimiento y ejecución de las actividades programadas para el tercer trimestre del POA 2026, mediante el seguimiento a las áreas responsables y la revisión de las evidencias correspondientes, con la finalidad de identificar avances, determinar incumplimientos y promover acciones correctivas que contribuyan al logro de los indicadores de gestión y resultados institucionales.</w:t>
            </w:r>
          </w:p>
        </w:tc>
      </w:tr>
      <w:permEnd w:id="27145716"/>
      <w:tr w:rsidR="004B0874" w:rsidRPr="00CF7536" w14:paraId="4101652C" w14:textId="77777777" w:rsidTr="003503C8">
        <w:trPr>
          <w:trHeight w:val="342"/>
        </w:trPr>
        <w:tc>
          <w:tcPr>
            <w:tcW w:w="10916" w:type="dxa"/>
            <w:tcBorders>
              <w:left w:val="nil"/>
              <w:bottom w:val="single" w:sz="4" w:space="0" w:color="auto"/>
              <w:right w:val="nil"/>
            </w:tcBorders>
            <w:vAlign w:val="center"/>
          </w:tcPr>
          <w:p w14:paraId="4B99056E" w14:textId="77777777" w:rsidR="004B0874" w:rsidRPr="00CF7536" w:rsidRDefault="004B0874" w:rsidP="002A1862">
            <w:pPr>
              <w:spacing w:line="168" w:lineRule="auto"/>
              <w:jc w:val="both"/>
              <w:rPr>
                <w:rFonts w:ascii="Rockwell" w:hAnsi="Rockwell" w:cs="Open Sans"/>
                <w:sz w:val="16"/>
                <w:szCs w:val="16"/>
              </w:rPr>
            </w:pPr>
          </w:p>
        </w:tc>
      </w:tr>
      <w:tr w:rsidR="007224D1" w:rsidRPr="00CF7536" w14:paraId="41B0B2D1" w14:textId="77777777" w:rsidTr="007224D1">
        <w:trPr>
          <w:trHeight w:val="441"/>
        </w:trPr>
        <w:tc>
          <w:tcPr>
            <w:tcW w:w="10916" w:type="dxa"/>
            <w:tcBorders>
              <w:left w:val="nil"/>
              <w:bottom w:val="single" w:sz="4" w:space="0" w:color="auto"/>
              <w:right w:val="nil"/>
            </w:tcBorders>
            <w:shd w:val="clear" w:color="auto" w:fill="0C5277"/>
            <w:vAlign w:val="center"/>
          </w:tcPr>
          <w:p w14:paraId="725F00DA" w14:textId="65FA680B" w:rsidR="007224D1" w:rsidRPr="00CF7536" w:rsidRDefault="007224D1" w:rsidP="002A1862">
            <w:pPr>
              <w:jc w:val="both"/>
              <w:rPr>
                <w:rFonts w:ascii="Rockwell" w:hAnsi="Rockwell" w:cs="Open Sans"/>
                <w:sz w:val="16"/>
                <w:szCs w:val="16"/>
              </w:rPr>
            </w:pPr>
            <w:r>
              <w:rPr>
                <w:rFonts w:ascii="Rockwell" w:hAnsi="Rockwell"/>
                <w:b/>
                <w:color w:val="FFFFFF" w:themeColor="background1"/>
              </w:rPr>
              <w:t>METODOLOGIA (</w:t>
            </w:r>
            <w:r w:rsidRPr="00D27E5C">
              <w:rPr>
                <w:rFonts w:ascii="Rockwell" w:hAnsi="Rockwell"/>
                <w:b/>
                <w:color w:val="FFFFFF" w:themeColor="background1"/>
                <w:sz w:val="18"/>
                <w:szCs w:val="18"/>
              </w:rPr>
              <w:t>Si aplica</w:t>
            </w:r>
            <w:r w:rsidRPr="00D27E5C">
              <w:rPr>
                <w:rFonts w:ascii="Rockwell" w:hAnsi="Rockwell"/>
                <w:b/>
                <w:color w:val="FFFFFF" w:themeColor="background1"/>
              </w:rPr>
              <w:t>)</w:t>
            </w:r>
          </w:p>
        </w:tc>
      </w:tr>
      <w:tr w:rsidR="007224D1" w:rsidRPr="00CF7536" w14:paraId="54AA1C72" w14:textId="77777777" w:rsidTr="007224D1">
        <w:trPr>
          <w:trHeight w:val="441"/>
        </w:trPr>
        <w:tc>
          <w:tcPr>
            <w:tcW w:w="10916" w:type="dxa"/>
            <w:tcBorders>
              <w:left w:val="single" w:sz="4" w:space="0" w:color="auto"/>
              <w:bottom w:val="single" w:sz="4" w:space="0" w:color="auto"/>
              <w:right w:val="single" w:sz="4" w:space="0" w:color="auto"/>
            </w:tcBorders>
            <w:vAlign w:val="center"/>
          </w:tcPr>
          <w:p w14:paraId="7B401978" w14:textId="77777777" w:rsidR="003C6FEB" w:rsidRPr="003C6FEB" w:rsidRDefault="003C6FEB" w:rsidP="002A1862">
            <w:pPr>
              <w:pStyle w:val="x12ofw9d"/>
              <w:shd w:val="clear" w:color="auto" w:fill="FCFCFC"/>
              <w:jc w:val="both"/>
              <w:rPr>
                <w:color w:val="0D0D0D"/>
              </w:rPr>
            </w:pPr>
            <w:permStart w:id="2004301570" w:edGrp="everyone"/>
            <w:r w:rsidRPr="003C6FEB">
              <w:rPr>
                <w:color w:val="0D0D0D"/>
              </w:rPr>
              <w:t>Para el desarrollo del proceso se utilizaron los siguientes instrumentos institucionales:</w:t>
            </w:r>
          </w:p>
          <w:p w14:paraId="651E172A" w14:textId="0BA4F0C6" w:rsidR="003C6FEB" w:rsidRPr="003C6FEB" w:rsidRDefault="003C6FEB" w:rsidP="002A1862">
            <w:pPr>
              <w:numPr>
                <w:ilvl w:val="0"/>
                <w:numId w:val="33"/>
              </w:numPr>
              <w:shd w:val="clear" w:color="auto" w:fill="FCFCFC"/>
              <w:spacing w:before="100" w:beforeAutospacing="1" w:after="100" w:afterAutospacing="1"/>
              <w:jc w:val="both"/>
              <w:rPr>
                <w:color w:val="0D0D0D"/>
              </w:rPr>
            </w:pPr>
            <w:r w:rsidRPr="003C6FEB">
              <w:rPr>
                <w:color w:val="0D0D0D"/>
              </w:rPr>
              <w:t>Matriz de MEP POA (DPD-FO-011-V3).</w:t>
            </w:r>
          </w:p>
          <w:p w14:paraId="0E6B81C1" w14:textId="77777777" w:rsidR="003C6FEB" w:rsidRPr="003C6FEB" w:rsidRDefault="003C6FEB" w:rsidP="002A1862">
            <w:pPr>
              <w:numPr>
                <w:ilvl w:val="0"/>
                <w:numId w:val="33"/>
              </w:numPr>
              <w:shd w:val="clear" w:color="auto" w:fill="FCFCFC"/>
              <w:spacing w:before="100" w:beforeAutospacing="1" w:after="100" w:afterAutospacing="1"/>
              <w:jc w:val="both"/>
              <w:rPr>
                <w:color w:val="0D0D0D"/>
              </w:rPr>
            </w:pPr>
            <w:r w:rsidRPr="003C6FEB">
              <w:rPr>
                <w:color w:val="0D0D0D"/>
              </w:rPr>
              <w:t>Matriz de Reprogramación Trimestral POA (DPD-FO-012-V2).</w:t>
            </w:r>
          </w:p>
          <w:p w14:paraId="4D5D90D2" w14:textId="77777777" w:rsidR="003C6FEB" w:rsidRPr="003C6FEB" w:rsidRDefault="003C6FEB" w:rsidP="002A1862">
            <w:pPr>
              <w:pStyle w:val="x12ofw9d"/>
              <w:shd w:val="clear" w:color="auto" w:fill="FCFCFC"/>
              <w:jc w:val="both"/>
              <w:rPr>
                <w:color w:val="0D0D0D"/>
              </w:rPr>
            </w:pPr>
            <w:r w:rsidRPr="003C6FEB">
              <w:rPr>
                <w:color w:val="0D0D0D"/>
              </w:rPr>
              <w:t>La metodología consistió en solicitar, recibir y revisar las evidencias correspondientes a las actividades programadas, con el propósito de verificar su ejecución y dar seguimiento al cumplimiento de los compromisos establecidos para el período evaluado.</w:t>
            </w:r>
          </w:p>
          <w:p w14:paraId="5C7020E0" w14:textId="1911ED01" w:rsidR="001670E1" w:rsidRPr="003C6FEB" w:rsidRDefault="003C6FEB" w:rsidP="002A1862">
            <w:pPr>
              <w:pStyle w:val="x12ofw9d"/>
              <w:shd w:val="clear" w:color="auto" w:fill="FCFCFC"/>
              <w:jc w:val="both"/>
              <w:rPr>
                <w:rFonts w:eastAsia="Calibri"/>
              </w:rPr>
            </w:pPr>
            <w:r w:rsidRPr="003C6FEB">
              <w:rPr>
                <w:color w:val="0D0D0D"/>
              </w:rPr>
              <w:t>Asimismo, se identificaron las áreas que no remitieron oportunamente las evidencias requeridas, detallando las actividades pendientes de reporte para facilitar su seguimiento y la implementación de las medidas correspondientes.</w:t>
            </w:r>
          </w:p>
        </w:tc>
      </w:tr>
      <w:permEnd w:id="2004301570"/>
      <w:tr w:rsidR="007224D1" w:rsidRPr="00CF7536" w14:paraId="714CAF14" w14:textId="77777777" w:rsidTr="003503C8">
        <w:trPr>
          <w:trHeight w:val="262"/>
        </w:trPr>
        <w:tc>
          <w:tcPr>
            <w:tcW w:w="10916" w:type="dxa"/>
            <w:tcBorders>
              <w:left w:val="nil"/>
              <w:bottom w:val="single" w:sz="4" w:space="0" w:color="auto"/>
              <w:right w:val="nil"/>
            </w:tcBorders>
            <w:vAlign w:val="center"/>
          </w:tcPr>
          <w:p w14:paraId="1D917BF2" w14:textId="77777777" w:rsidR="007224D1" w:rsidRPr="00CF7536" w:rsidRDefault="007224D1" w:rsidP="002A1862">
            <w:pPr>
              <w:spacing w:line="168" w:lineRule="auto"/>
              <w:jc w:val="both"/>
              <w:rPr>
                <w:rFonts w:ascii="Rockwell" w:hAnsi="Rockwell" w:cs="Open Sans"/>
                <w:sz w:val="16"/>
                <w:szCs w:val="16"/>
              </w:rPr>
            </w:pPr>
          </w:p>
        </w:tc>
      </w:tr>
      <w:tr w:rsidR="009D33A4" w:rsidRPr="00CF7536" w14:paraId="12FAFDE1" w14:textId="77777777" w:rsidTr="009D33A4">
        <w:trPr>
          <w:trHeight w:val="441"/>
        </w:trPr>
        <w:tc>
          <w:tcPr>
            <w:tcW w:w="10916" w:type="dxa"/>
            <w:tcBorders>
              <w:left w:val="single" w:sz="4" w:space="0" w:color="auto"/>
              <w:right w:val="single" w:sz="4" w:space="0" w:color="auto"/>
            </w:tcBorders>
            <w:shd w:val="clear" w:color="auto" w:fill="0C5277"/>
            <w:vAlign w:val="center"/>
          </w:tcPr>
          <w:p w14:paraId="2EF1F2C3" w14:textId="4E9F84B3" w:rsidR="009D33A4" w:rsidRPr="00CF7536" w:rsidRDefault="009D33A4" w:rsidP="002A1862">
            <w:pPr>
              <w:jc w:val="both"/>
              <w:rPr>
                <w:rFonts w:ascii="Rockwell" w:hAnsi="Rockwell" w:cs="Open Sans"/>
                <w:sz w:val="16"/>
                <w:szCs w:val="16"/>
              </w:rPr>
            </w:pPr>
            <w:r>
              <w:rPr>
                <w:rFonts w:ascii="Rockwell" w:hAnsi="Rockwell"/>
                <w:b/>
                <w:color w:val="FFFFFF" w:themeColor="background1"/>
              </w:rPr>
              <w:lastRenderedPageBreak/>
              <w:t>DESARROLLO</w:t>
            </w:r>
            <w:r w:rsidR="007224D1">
              <w:rPr>
                <w:rFonts w:ascii="Rockwell" w:hAnsi="Rockwell"/>
                <w:b/>
                <w:color w:val="FFFFFF" w:themeColor="background1"/>
              </w:rPr>
              <w:t xml:space="preserve"> / HALLAZGOS</w:t>
            </w:r>
          </w:p>
        </w:tc>
      </w:tr>
      <w:tr w:rsidR="009D33A4" w:rsidRPr="00CF7536" w14:paraId="54297E44" w14:textId="77777777" w:rsidTr="009D33A4">
        <w:trPr>
          <w:trHeight w:val="441"/>
        </w:trPr>
        <w:tc>
          <w:tcPr>
            <w:tcW w:w="10916" w:type="dxa"/>
            <w:tcBorders>
              <w:left w:val="single" w:sz="4" w:space="0" w:color="auto"/>
              <w:right w:val="single" w:sz="4" w:space="0" w:color="auto"/>
            </w:tcBorders>
            <w:vAlign w:val="center"/>
          </w:tcPr>
          <w:p w14:paraId="26FF9C19" w14:textId="4A32D4C0" w:rsidR="003C6FEB" w:rsidRPr="003C6FEB" w:rsidRDefault="003C6FEB" w:rsidP="002A1862">
            <w:pPr>
              <w:shd w:val="clear" w:color="auto" w:fill="FCFCFC"/>
              <w:spacing w:before="100" w:beforeAutospacing="1" w:after="100" w:afterAutospacing="1"/>
              <w:jc w:val="both"/>
              <w:outlineLvl w:val="3"/>
              <w:rPr>
                <w:b/>
                <w:bCs/>
                <w:color w:val="0D0D0D"/>
                <w:lang w:val="es-DO" w:eastAsia="es-DO"/>
              </w:rPr>
            </w:pPr>
            <w:permStart w:id="1300312308" w:edGrp="everyone"/>
            <w:r>
              <w:rPr>
                <w:b/>
                <w:bCs/>
                <w:color w:val="0D0D0D"/>
                <w:lang w:val="es-DO" w:eastAsia="es-DO"/>
              </w:rPr>
              <w:t>1.</w:t>
            </w:r>
            <w:r w:rsidRPr="003C6FEB">
              <w:rPr>
                <w:b/>
                <w:bCs/>
                <w:color w:val="0D0D0D"/>
                <w:lang w:val="es-DO" w:eastAsia="es-DO"/>
              </w:rPr>
              <w:t xml:space="preserve"> Resultado general del monitoreo</w:t>
            </w:r>
          </w:p>
          <w:p w14:paraId="371430D7" w14:textId="38628654"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color w:val="0D0D0D"/>
                <w:lang w:val="es-DO" w:eastAsia="es-DO"/>
              </w:rPr>
              <w:t>El Instituto Nacional del Cáncer Rosa Emilia Sánchez Pérez de Tavares (INCART) cuenta con un total de 23 áreas responsables de la ejecución de las actividades contempladas</w:t>
            </w:r>
            <w:r>
              <w:rPr>
                <w:color w:val="0D0D0D"/>
                <w:lang w:val="es-DO" w:eastAsia="es-DO"/>
              </w:rPr>
              <w:t xml:space="preserve"> en el tercer trimestre</w:t>
            </w:r>
            <w:r w:rsidRPr="003C6FEB">
              <w:rPr>
                <w:color w:val="0D0D0D"/>
                <w:lang w:val="es-DO" w:eastAsia="es-DO"/>
              </w:rPr>
              <w:t xml:space="preserve"> en el POA 2026.</w:t>
            </w:r>
          </w:p>
          <w:p w14:paraId="1CA28611" w14:textId="77777777"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color w:val="0D0D0D"/>
                <w:lang w:val="es-DO" w:eastAsia="es-DO"/>
              </w:rPr>
              <w:t>Durante el proceso de monitoreo correspondiente al tercer trimestre, se verificó la entrega de evidencias por parte de las áreas responsables. De acuerdo con los resultados reportados, se alcanzó un nivel de cumplimiento del 89 % en la entrega oportuna de las evidencias requeridas.</w:t>
            </w:r>
          </w:p>
          <w:p w14:paraId="21FE0B7A" w14:textId="77777777"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color w:val="0D0D0D"/>
                <w:lang w:val="es-DO" w:eastAsia="es-DO"/>
              </w:rPr>
              <w:t>Este resultado refleja el nivel de respuesta de las áreas ante el proceso de seguimiento institucional. No obstante, se identificaron actividades cuyas evidencias no fueron presentadas oportunamente durante el monitoreo interno, lo que limita su verificación documental dentro del período evaluado y requiere acciones de seguimiento para regularizar los reportes pendientes.</w:t>
            </w:r>
          </w:p>
          <w:p w14:paraId="2A0AFDDF" w14:textId="77777777"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color w:val="0D0D0D"/>
                <w:lang w:val="es-DO" w:eastAsia="es-DO"/>
              </w:rPr>
              <w:t>A continuación, se detallan las áreas y actividades identificadas.</w:t>
            </w:r>
          </w:p>
          <w:p w14:paraId="02BA107C" w14:textId="29DADBD2" w:rsidR="003C6FEB" w:rsidRPr="003C6FEB" w:rsidRDefault="003C6FEB" w:rsidP="002A1862">
            <w:pPr>
              <w:shd w:val="clear" w:color="auto" w:fill="FCFCFC"/>
              <w:spacing w:before="100" w:beforeAutospacing="1" w:after="100" w:afterAutospacing="1"/>
              <w:jc w:val="both"/>
              <w:outlineLvl w:val="3"/>
              <w:rPr>
                <w:b/>
                <w:bCs/>
                <w:color w:val="0D0D0D"/>
                <w:lang w:val="es-DO" w:eastAsia="es-DO"/>
              </w:rPr>
            </w:pPr>
            <w:r>
              <w:rPr>
                <w:b/>
                <w:bCs/>
                <w:color w:val="0D0D0D"/>
                <w:lang w:val="es-DO" w:eastAsia="es-DO"/>
              </w:rPr>
              <w:t>2.</w:t>
            </w:r>
            <w:r w:rsidRPr="003C6FEB">
              <w:rPr>
                <w:b/>
                <w:bCs/>
                <w:color w:val="0D0D0D"/>
                <w:lang w:val="es-DO" w:eastAsia="es-DO"/>
              </w:rPr>
              <w:t xml:space="preserve"> Áreas con actividades pendientes de reporte</w:t>
            </w:r>
          </w:p>
          <w:p w14:paraId="37170890" w14:textId="6EA16771"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b/>
                <w:bCs/>
                <w:color w:val="0D0D0D"/>
                <w:lang w:val="es-DO" w:eastAsia="es-DO"/>
              </w:rPr>
              <w:t xml:space="preserve">2.1. </w:t>
            </w:r>
            <w:r>
              <w:rPr>
                <w:b/>
                <w:bCs/>
                <w:color w:val="0D0D0D"/>
                <w:lang w:val="es-DO" w:eastAsia="es-DO"/>
              </w:rPr>
              <w:t>Departamento Financiero:</w:t>
            </w:r>
          </w:p>
          <w:p w14:paraId="09B059E7" w14:textId="5826ACB1"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color w:val="0D0D0D"/>
                <w:lang w:val="es-DO" w:eastAsia="es-DO"/>
              </w:rPr>
              <w:t xml:space="preserve">El área de Finanzas presentó actividades cuyas evidencias no fueron remitidas durante el monitoreo interno, correspondientes a </w:t>
            </w:r>
            <w:r>
              <w:rPr>
                <w:color w:val="0D0D0D"/>
                <w:lang w:val="es-DO" w:eastAsia="es-DO"/>
              </w:rPr>
              <w:t>las siguientes actividades</w:t>
            </w:r>
            <w:r w:rsidRPr="003C6FEB">
              <w:rPr>
                <w:color w:val="0D0D0D"/>
                <w:lang w:val="es-DO" w:eastAsia="es-DO"/>
              </w:rPr>
              <w:t>:</w:t>
            </w:r>
          </w:p>
          <w:p w14:paraId="4D75B860" w14:textId="0D10DF9D" w:rsidR="003C6FEB" w:rsidRPr="003C6FEB" w:rsidRDefault="003C6FEB" w:rsidP="002A1862">
            <w:pPr>
              <w:numPr>
                <w:ilvl w:val="0"/>
                <w:numId w:val="34"/>
              </w:numPr>
              <w:shd w:val="clear" w:color="auto" w:fill="FCFCFC"/>
              <w:spacing w:before="100" w:beforeAutospacing="1" w:after="100" w:afterAutospacing="1"/>
              <w:jc w:val="both"/>
              <w:rPr>
                <w:color w:val="0D0D0D"/>
                <w:lang w:val="es-DO" w:eastAsia="es-DO"/>
              </w:rPr>
            </w:pPr>
            <w:r>
              <w:rPr>
                <w:b/>
                <w:bCs/>
                <w:color w:val="0D0D0D"/>
                <w:lang w:val="es-DO" w:eastAsia="es-DO"/>
              </w:rPr>
              <w:t>(</w:t>
            </w:r>
            <w:r w:rsidRPr="003C6FEB">
              <w:rPr>
                <w:b/>
                <w:bCs/>
                <w:color w:val="0D0D0D"/>
                <w:lang w:val="es-DO" w:eastAsia="es-DO"/>
              </w:rPr>
              <w:t>3.1.7.02</w:t>
            </w:r>
            <w:r>
              <w:rPr>
                <w:b/>
                <w:bCs/>
                <w:color w:val="0D0D0D"/>
                <w:lang w:val="es-DO" w:eastAsia="es-DO"/>
              </w:rPr>
              <w:t>)</w:t>
            </w:r>
            <w:r w:rsidRPr="003C6FEB">
              <w:rPr>
                <w:color w:val="0D0D0D"/>
                <w:lang w:val="es-DO" w:eastAsia="es-DO"/>
              </w:rPr>
              <w:t xml:space="preserve"> </w:t>
            </w:r>
            <w:r w:rsidRPr="003C6FEB">
              <w:rPr>
                <w:b/>
                <w:bCs/>
                <w:color w:val="0D0D0D"/>
                <w:lang w:val="es-DO" w:eastAsia="es-DO"/>
              </w:rPr>
              <w:t>Registro de activos en el Sistema de Administración de Bienes (SIAB)</w:t>
            </w:r>
            <w:r w:rsidRPr="003C6FEB">
              <w:rPr>
                <w:color w:val="0D0D0D"/>
                <w:lang w:val="es-DO" w:eastAsia="es-DO"/>
              </w:rPr>
              <w:t>, correspondiente al mes de septiembre de 2026.</w:t>
            </w:r>
          </w:p>
          <w:p w14:paraId="382F2353" w14:textId="4FE8C542" w:rsidR="003C6FEB" w:rsidRPr="003C6FEB" w:rsidRDefault="003C6FEB" w:rsidP="002A1862">
            <w:pPr>
              <w:numPr>
                <w:ilvl w:val="0"/>
                <w:numId w:val="34"/>
              </w:numPr>
              <w:shd w:val="clear" w:color="auto" w:fill="FCFCFC"/>
              <w:spacing w:before="100" w:beforeAutospacing="1" w:after="100" w:afterAutospacing="1"/>
              <w:jc w:val="both"/>
              <w:rPr>
                <w:color w:val="0D0D0D"/>
                <w:lang w:val="es-DO" w:eastAsia="es-DO"/>
              </w:rPr>
            </w:pPr>
            <w:r>
              <w:rPr>
                <w:b/>
                <w:bCs/>
                <w:color w:val="0D0D0D"/>
                <w:lang w:val="es-DO" w:eastAsia="es-DO"/>
              </w:rPr>
              <w:t>(</w:t>
            </w:r>
            <w:r w:rsidRPr="003C6FEB">
              <w:rPr>
                <w:b/>
                <w:bCs/>
                <w:color w:val="0D0D0D"/>
                <w:lang w:val="es-DO" w:eastAsia="es-DO"/>
              </w:rPr>
              <w:t>3.8.1.03</w:t>
            </w:r>
            <w:r>
              <w:rPr>
                <w:b/>
                <w:bCs/>
                <w:color w:val="0D0D0D"/>
                <w:lang w:val="es-DO" w:eastAsia="es-DO"/>
              </w:rPr>
              <w:t>)</w:t>
            </w:r>
            <w:r w:rsidRPr="003C6FEB">
              <w:rPr>
                <w:color w:val="0D0D0D"/>
                <w:lang w:val="es-DO" w:eastAsia="es-DO"/>
              </w:rPr>
              <w:t xml:space="preserve"> </w:t>
            </w:r>
            <w:r w:rsidRPr="003C6FEB">
              <w:rPr>
                <w:b/>
                <w:bCs/>
                <w:color w:val="0D0D0D"/>
                <w:lang w:val="es-DO" w:eastAsia="es-DO"/>
              </w:rPr>
              <w:t>Ejecución de planes de mejora derivados de los resultados de la evaluación de control interno aplicada</w:t>
            </w:r>
            <w:r w:rsidRPr="003C6FEB">
              <w:rPr>
                <w:color w:val="0D0D0D"/>
                <w:lang w:val="es-DO" w:eastAsia="es-DO"/>
              </w:rPr>
              <w:t>, correspondiente al mes de septiembre de 2026.</w:t>
            </w:r>
          </w:p>
          <w:p w14:paraId="036B08F0" w14:textId="40909230" w:rsidR="003C6FEB" w:rsidRPr="003C6FEB" w:rsidRDefault="002A1862" w:rsidP="002A1862">
            <w:pPr>
              <w:numPr>
                <w:ilvl w:val="0"/>
                <w:numId w:val="34"/>
              </w:numPr>
              <w:shd w:val="clear" w:color="auto" w:fill="FCFCFC"/>
              <w:spacing w:before="100" w:beforeAutospacing="1" w:after="100" w:afterAutospacing="1"/>
              <w:jc w:val="both"/>
              <w:rPr>
                <w:color w:val="0D0D0D"/>
                <w:lang w:val="es-DO" w:eastAsia="es-DO"/>
              </w:rPr>
            </w:pPr>
            <w:r w:rsidRPr="002A1862">
              <w:rPr>
                <w:b/>
                <w:bCs/>
                <w:color w:val="0D0D0D"/>
                <w:lang w:val="es-DO" w:eastAsia="es-DO"/>
              </w:rPr>
              <w:t>(</w:t>
            </w:r>
            <w:r w:rsidR="003C6FEB" w:rsidRPr="002A1862">
              <w:rPr>
                <w:b/>
                <w:bCs/>
                <w:color w:val="0D0D0D"/>
                <w:lang w:val="es-DO" w:eastAsia="es-DO"/>
              </w:rPr>
              <w:t>3.8.1.05</w:t>
            </w:r>
            <w:r w:rsidRPr="002A1862">
              <w:rPr>
                <w:b/>
                <w:bCs/>
                <w:color w:val="0D0D0D"/>
                <w:lang w:val="es-DO" w:eastAsia="es-DO"/>
              </w:rPr>
              <w:t>)</w:t>
            </w:r>
            <w:r w:rsidR="003C6FEB" w:rsidRPr="002A1862">
              <w:rPr>
                <w:b/>
                <w:bCs/>
                <w:color w:val="0D0D0D"/>
                <w:lang w:val="es-DO" w:eastAsia="es-DO"/>
              </w:rPr>
              <w:t xml:space="preserve"> Remisión del reporte sobre el comportamiento de los indicadores financieros en seguimiento disminución de deuda, eficientización de la nómina e incremento de la captación de recursos directos</w:t>
            </w:r>
            <w:r w:rsidR="003C6FEB" w:rsidRPr="003C6FEB">
              <w:rPr>
                <w:color w:val="0D0D0D"/>
                <w:lang w:val="es-DO" w:eastAsia="es-DO"/>
              </w:rPr>
              <w:t>, correspondiente a los meses de julio, agosto y septiembre de 2026.</w:t>
            </w:r>
          </w:p>
          <w:p w14:paraId="3C42943D" w14:textId="663A9789" w:rsidR="003C6FEB" w:rsidRPr="003C6FEB" w:rsidRDefault="002A1862" w:rsidP="002A1862">
            <w:pPr>
              <w:numPr>
                <w:ilvl w:val="0"/>
                <w:numId w:val="34"/>
              </w:numPr>
              <w:shd w:val="clear" w:color="auto" w:fill="FCFCFC"/>
              <w:spacing w:before="100" w:beforeAutospacing="1" w:after="100" w:afterAutospacing="1"/>
              <w:jc w:val="both"/>
              <w:rPr>
                <w:color w:val="0D0D0D"/>
                <w:lang w:val="es-DO" w:eastAsia="es-DO"/>
              </w:rPr>
            </w:pPr>
            <w:r>
              <w:rPr>
                <w:b/>
                <w:bCs/>
                <w:color w:val="0D0D0D"/>
                <w:lang w:val="es-DO" w:eastAsia="es-DO"/>
              </w:rPr>
              <w:t>(</w:t>
            </w:r>
            <w:r w:rsidR="003C6FEB" w:rsidRPr="003C6FEB">
              <w:rPr>
                <w:b/>
                <w:bCs/>
                <w:color w:val="0D0D0D"/>
                <w:lang w:val="es-DO" w:eastAsia="es-DO"/>
              </w:rPr>
              <w:t>3.8.1.06</w:t>
            </w:r>
            <w:r>
              <w:rPr>
                <w:b/>
                <w:bCs/>
                <w:color w:val="0D0D0D"/>
                <w:lang w:val="es-DO" w:eastAsia="es-DO"/>
              </w:rPr>
              <w:t>)</w:t>
            </w:r>
            <w:r w:rsidR="003C6FEB" w:rsidRPr="003C6FEB">
              <w:rPr>
                <w:color w:val="0D0D0D"/>
                <w:lang w:val="es-DO" w:eastAsia="es-DO"/>
              </w:rPr>
              <w:t xml:space="preserve"> </w:t>
            </w:r>
            <w:r w:rsidR="003C6FEB" w:rsidRPr="002A1862">
              <w:rPr>
                <w:b/>
                <w:bCs/>
                <w:color w:val="0D0D0D"/>
                <w:lang w:val="es-DO" w:eastAsia="es-DO"/>
              </w:rPr>
              <w:t>Ejecución de los fondos del anticipo financiero dentro de los plazos establecidos</w:t>
            </w:r>
            <w:r w:rsidR="003C6FEB" w:rsidRPr="003C6FEB">
              <w:rPr>
                <w:color w:val="0D0D0D"/>
                <w:lang w:val="es-DO" w:eastAsia="es-DO"/>
              </w:rPr>
              <w:t>, correspondiente a los meses de julio, agosto y septiembre de 2026.</w:t>
            </w:r>
          </w:p>
          <w:p w14:paraId="613DB2B6" w14:textId="0E62F18B" w:rsidR="003C6FEB" w:rsidRPr="003C6FEB" w:rsidRDefault="002A1862" w:rsidP="002A1862">
            <w:pPr>
              <w:numPr>
                <w:ilvl w:val="0"/>
                <w:numId w:val="34"/>
              </w:numPr>
              <w:shd w:val="clear" w:color="auto" w:fill="FCFCFC"/>
              <w:spacing w:before="100" w:beforeAutospacing="1" w:after="100" w:afterAutospacing="1"/>
              <w:jc w:val="both"/>
              <w:rPr>
                <w:color w:val="0D0D0D"/>
                <w:lang w:val="es-DO" w:eastAsia="es-DO"/>
              </w:rPr>
            </w:pPr>
            <w:r>
              <w:rPr>
                <w:b/>
                <w:bCs/>
                <w:color w:val="0D0D0D"/>
                <w:lang w:val="es-DO" w:eastAsia="es-DO"/>
              </w:rPr>
              <w:t>(</w:t>
            </w:r>
            <w:r w:rsidR="003C6FEB" w:rsidRPr="003C6FEB">
              <w:rPr>
                <w:b/>
                <w:bCs/>
                <w:color w:val="0D0D0D"/>
                <w:lang w:val="es-DO" w:eastAsia="es-DO"/>
              </w:rPr>
              <w:t>3.1.1.1.06</w:t>
            </w:r>
            <w:r>
              <w:rPr>
                <w:b/>
                <w:bCs/>
                <w:color w:val="0D0D0D"/>
                <w:lang w:val="es-DO" w:eastAsia="es-DO"/>
              </w:rPr>
              <w:t>)</w:t>
            </w:r>
            <w:r w:rsidR="003C6FEB" w:rsidRPr="003C6FEB">
              <w:rPr>
                <w:color w:val="0D0D0D"/>
                <w:lang w:val="es-DO" w:eastAsia="es-DO"/>
              </w:rPr>
              <w:t xml:space="preserve"> </w:t>
            </w:r>
            <w:r w:rsidR="003C6FEB" w:rsidRPr="002A1862">
              <w:rPr>
                <w:b/>
                <w:bCs/>
                <w:color w:val="0D0D0D"/>
                <w:lang w:val="es-DO" w:eastAsia="es-DO"/>
              </w:rPr>
              <w:t>Carga oportuna de las informaciones financieras, cumpliendo con los criterios de calidad establecidos en las normativas aplicables, para garantizar su disponibilidad a la ciudadanía</w:t>
            </w:r>
            <w:r w:rsidR="003C6FEB" w:rsidRPr="003C6FEB">
              <w:rPr>
                <w:color w:val="0D0D0D"/>
                <w:lang w:val="es-DO" w:eastAsia="es-DO"/>
              </w:rPr>
              <w:t>, correspondiente a los meses de julio, agosto y septiembre de 2026.</w:t>
            </w:r>
          </w:p>
          <w:p w14:paraId="16FDE60F" w14:textId="2D377A45" w:rsidR="003C6FEB" w:rsidRPr="003C6FEB" w:rsidRDefault="002A1862" w:rsidP="002A1862">
            <w:pPr>
              <w:numPr>
                <w:ilvl w:val="0"/>
                <w:numId w:val="34"/>
              </w:numPr>
              <w:shd w:val="clear" w:color="auto" w:fill="FCFCFC"/>
              <w:spacing w:before="100" w:beforeAutospacing="1" w:after="100" w:afterAutospacing="1"/>
              <w:jc w:val="both"/>
              <w:rPr>
                <w:color w:val="0D0D0D"/>
                <w:lang w:val="es-DO" w:eastAsia="es-DO"/>
              </w:rPr>
            </w:pPr>
            <w:r>
              <w:rPr>
                <w:b/>
                <w:bCs/>
                <w:color w:val="0D0D0D"/>
                <w:lang w:val="es-DO" w:eastAsia="es-DO"/>
              </w:rPr>
              <w:t>(</w:t>
            </w:r>
            <w:r w:rsidRPr="003C6FEB">
              <w:rPr>
                <w:b/>
                <w:bCs/>
                <w:color w:val="0D0D0D"/>
                <w:lang w:val="es-DO" w:eastAsia="es-DO"/>
              </w:rPr>
              <w:t>3.1.1.2.08</w:t>
            </w:r>
            <w:r>
              <w:rPr>
                <w:b/>
                <w:bCs/>
                <w:color w:val="0D0D0D"/>
                <w:lang w:val="es-DO" w:eastAsia="es-DO"/>
              </w:rPr>
              <w:t>)</w:t>
            </w:r>
            <w:r w:rsidR="003C6FEB" w:rsidRPr="003C6FEB">
              <w:rPr>
                <w:color w:val="0D0D0D"/>
                <w:lang w:val="es-DO" w:eastAsia="es-DO"/>
              </w:rPr>
              <w:t xml:space="preserve"> </w:t>
            </w:r>
            <w:r w:rsidR="003C6FEB" w:rsidRPr="002A1862">
              <w:rPr>
                <w:b/>
                <w:bCs/>
                <w:color w:val="0D0D0D"/>
                <w:lang w:val="es-DO" w:eastAsia="es-DO"/>
              </w:rPr>
              <w:t>Elaboración de los estados financieros y sus anexos</w:t>
            </w:r>
            <w:r w:rsidR="003C6FEB" w:rsidRPr="003C6FEB">
              <w:rPr>
                <w:color w:val="0D0D0D"/>
                <w:lang w:val="es-DO" w:eastAsia="es-DO"/>
              </w:rPr>
              <w:t>, correspondientes a los meses de agosto y septiembre de 2026.</w:t>
            </w:r>
          </w:p>
          <w:p w14:paraId="41221C3C" w14:textId="445A859A"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b/>
                <w:bCs/>
                <w:color w:val="0D0D0D"/>
                <w:lang w:val="es-DO" w:eastAsia="es-DO"/>
              </w:rPr>
              <w:t>2.2. Calidad en la Gestión</w:t>
            </w:r>
          </w:p>
          <w:p w14:paraId="54A2116C" w14:textId="77777777"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color w:val="0D0D0D"/>
                <w:lang w:val="es-DO" w:eastAsia="es-DO"/>
              </w:rPr>
              <w:t>Se identificó una actividad pendiente de presentación de evidencias:</w:t>
            </w:r>
          </w:p>
          <w:p w14:paraId="68833E17" w14:textId="5882CF63" w:rsidR="003C6FEB" w:rsidRPr="003C6FEB" w:rsidRDefault="002A1862" w:rsidP="002A1862">
            <w:pPr>
              <w:numPr>
                <w:ilvl w:val="0"/>
                <w:numId w:val="35"/>
              </w:numPr>
              <w:shd w:val="clear" w:color="auto" w:fill="FCFCFC"/>
              <w:spacing w:before="100" w:beforeAutospacing="1" w:after="100" w:afterAutospacing="1"/>
              <w:jc w:val="both"/>
              <w:rPr>
                <w:color w:val="0D0D0D"/>
                <w:lang w:val="es-DO" w:eastAsia="es-DO"/>
              </w:rPr>
            </w:pPr>
            <w:r>
              <w:rPr>
                <w:b/>
                <w:bCs/>
                <w:color w:val="0D0D0D"/>
                <w:lang w:val="es-DO" w:eastAsia="es-DO"/>
              </w:rPr>
              <w:t>(</w:t>
            </w:r>
            <w:r w:rsidR="003C6FEB" w:rsidRPr="003C6FEB">
              <w:rPr>
                <w:b/>
                <w:bCs/>
                <w:color w:val="0D0D0D"/>
                <w:lang w:val="es-DO" w:eastAsia="es-DO"/>
              </w:rPr>
              <w:t>3.7.1.3.01</w:t>
            </w:r>
            <w:r>
              <w:rPr>
                <w:b/>
                <w:bCs/>
                <w:color w:val="0D0D0D"/>
                <w:lang w:val="es-DO" w:eastAsia="es-DO"/>
              </w:rPr>
              <w:t>)</w:t>
            </w:r>
            <w:r w:rsidR="003C6FEB" w:rsidRPr="003C6FEB">
              <w:rPr>
                <w:color w:val="0D0D0D"/>
                <w:lang w:val="es-DO" w:eastAsia="es-DO"/>
              </w:rPr>
              <w:t xml:space="preserve"> </w:t>
            </w:r>
            <w:r w:rsidR="003C6FEB" w:rsidRPr="002A1862">
              <w:rPr>
                <w:b/>
                <w:bCs/>
                <w:color w:val="0D0D0D"/>
                <w:lang w:val="es-DO" w:eastAsia="es-DO"/>
              </w:rPr>
              <w:t>Identificación de buenas prácticas en función del Programa de Innovación para los Establecimientos de Salud (EESS)</w:t>
            </w:r>
            <w:r w:rsidR="003C6FEB" w:rsidRPr="003C6FEB">
              <w:rPr>
                <w:color w:val="0D0D0D"/>
                <w:lang w:val="es-DO" w:eastAsia="es-DO"/>
              </w:rPr>
              <w:t>, correspondiente al mes de agosto de 2026.</w:t>
            </w:r>
          </w:p>
          <w:p w14:paraId="12614B19" w14:textId="14795677"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b/>
                <w:bCs/>
                <w:color w:val="0D0D0D"/>
                <w:lang w:val="es-DO" w:eastAsia="es-DO"/>
              </w:rPr>
              <w:lastRenderedPageBreak/>
              <w:t>2.3. Odontología</w:t>
            </w:r>
          </w:p>
          <w:p w14:paraId="398AA7AB" w14:textId="77777777"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color w:val="0D0D0D"/>
                <w:lang w:val="es-DO" w:eastAsia="es-DO"/>
              </w:rPr>
              <w:t>Se identificó una actividad pendiente de presentación de evidencias:</w:t>
            </w:r>
          </w:p>
          <w:p w14:paraId="174F1DB2" w14:textId="64FDB836" w:rsidR="003C6FEB" w:rsidRPr="003C6FEB" w:rsidRDefault="002A1862" w:rsidP="002A1862">
            <w:pPr>
              <w:numPr>
                <w:ilvl w:val="0"/>
                <w:numId w:val="36"/>
              </w:numPr>
              <w:shd w:val="clear" w:color="auto" w:fill="FCFCFC"/>
              <w:spacing w:before="100" w:beforeAutospacing="1" w:after="100" w:afterAutospacing="1"/>
              <w:jc w:val="both"/>
              <w:rPr>
                <w:color w:val="0D0D0D"/>
                <w:lang w:val="es-DO" w:eastAsia="es-DO"/>
              </w:rPr>
            </w:pPr>
            <w:r>
              <w:rPr>
                <w:b/>
                <w:bCs/>
                <w:color w:val="0D0D0D"/>
                <w:lang w:val="es-DO" w:eastAsia="es-DO"/>
              </w:rPr>
              <w:t>(</w:t>
            </w:r>
            <w:r w:rsidR="003C6FEB" w:rsidRPr="003C6FEB">
              <w:rPr>
                <w:b/>
                <w:bCs/>
                <w:color w:val="0D0D0D"/>
                <w:lang w:val="es-DO" w:eastAsia="es-DO"/>
              </w:rPr>
              <w:t>1.2.4.1.04</w:t>
            </w:r>
            <w:r>
              <w:rPr>
                <w:b/>
                <w:bCs/>
                <w:color w:val="0D0D0D"/>
                <w:lang w:val="es-DO" w:eastAsia="es-DO"/>
              </w:rPr>
              <w:t>)</w:t>
            </w:r>
            <w:r w:rsidR="003C6FEB" w:rsidRPr="003C6FEB">
              <w:rPr>
                <w:color w:val="0D0D0D"/>
                <w:lang w:val="es-DO" w:eastAsia="es-DO"/>
              </w:rPr>
              <w:t xml:space="preserve"> </w:t>
            </w:r>
            <w:r w:rsidR="003C6FEB" w:rsidRPr="002A1862">
              <w:rPr>
                <w:b/>
                <w:bCs/>
                <w:color w:val="0D0D0D"/>
                <w:lang w:val="es-DO" w:eastAsia="es-DO"/>
              </w:rPr>
              <w:t>Desarrollo del Programa Hospitales Libres de Caries</w:t>
            </w:r>
            <w:r w:rsidR="003C6FEB" w:rsidRPr="003C6FEB">
              <w:rPr>
                <w:color w:val="0D0D0D"/>
                <w:lang w:val="es-DO" w:eastAsia="es-DO"/>
              </w:rPr>
              <w:t>, correspondiente al mes de septiembre de 2026.</w:t>
            </w:r>
          </w:p>
          <w:p w14:paraId="2A1E10A1" w14:textId="7490E64D"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b/>
                <w:bCs/>
                <w:color w:val="0D0D0D"/>
                <w:lang w:val="es-DO" w:eastAsia="es-DO"/>
              </w:rPr>
              <w:t>2.4. Oficina de Acceso a la Información (OAI)</w:t>
            </w:r>
          </w:p>
          <w:p w14:paraId="5E70C0BC" w14:textId="77777777"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color w:val="0D0D0D"/>
                <w:lang w:val="es-DO" w:eastAsia="es-DO"/>
              </w:rPr>
              <w:t>Se identificó una actividad pendiente de presentación de evidencias:</w:t>
            </w:r>
          </w:p>
          <w:p w14:paraId="269EDABE" w14:textId="52E4090B" w:rsidR="003C6FEB" w:rsidRPr="003C6FEB" w:rsidRDefault="002A1862" w:rsidP="002A1862">
            <w:pPr>
              <w:numPr>
                <w:ilvl w:val="0"/>
                <w:numId w:val="37"/>
              </w:numPr>
              <w:shd w:val="clear" w:color="auto" w:fill="FCFCFC"/>
              <w:spacing w:before="100" w:beforeAutospacing="1" w:after="100" w:afterAutospacing="1"/>
              <w:jc w:val="both"/>
              <w:rPr>
                <w:color w:val="0D0D0D"/>
                <w:lang w:val="es-DO" w:eastAsia="es-DO"/>
              </w:rPr>
            </w:pPr>
            <w:r>
              <w:rPr>
                <w:b/>
                <w:bCs/>
                <w:color w:val="0D0D0D"/>
                <w:lang w:val="es-DO" w:eastAsia="es-DO"/>
              </w:rPr>
              <w:t>(</w:t>
            </w:r>
            <w:r w:rsidR="003C6FEB" w:rsidRPr="003C6FEB">
              <w:rPr>
                <w:b/>
                <w:bCs/>
                <w:color w:val="0D0D0D"/>
                <w:lang w:val="es-DO" w:eastAsia="es-DO"/>
              </w:rPr>
              <w:t>3.5.1.06</w:t>
            </w:r>
            <w:r>
              <w:rPr>
                <w:b/>
                <w:bCs/>
                <w:color w:val="0D0D0D"/>
                <w:lang w:val="es-DO" w:eastAsia="es-DO"/>
              </w:rPr>
              <w:t>)</w:t>
            </w:r>
            <w:r w:rsidR="003C6FEB" w:rsidRPr="003C6FEB">
              <w:rPr>
                <w:color w:val="0D0D0D"/>
                <w:lang w:val="es-DO" w:eastAsia="es-DO"/>
              </w:rPr>
              <w:t xml:space="preserve"> </w:t>
            </w:r>
            <w:r w:rsidR="003C6FEB" w:rsidRPr="002A1862">
              <w:rPr>
                <w:b/>
                <w:bCs/>
                <w:color w:val="0D0D0D"/>
                <w:lang w:val="es-DO" w:eastAsia="es-DO"/>
              </w:rPr>
              <w:t>Capacitación en la Ley núm. 172-13 sobre Protección de Datos Personales a todo el personal del hospital</w:t>
            </w:r>
            <w:r w:rsidR="003C6FEB" w:rsidRPr="003C6FEB">
              <w:rPr>
                <w:color w:val="0D0D0D"/>
                <w:lang w:val="es-DO" w:eastAsia="es-DO"/>
              </w:rPr>
              <w:t>, correspondiente al mes de septiembre de 2026.</w:t>
            </w:r>
          </w:p>
          <w:p w14:paraId="5986B549" w14:textId="4115F8AD" w:rsidR="003C6FEB" w:rsidRPr="003C6FEB" w:rsidRDefault="002A1862" w:rsidP="002A1862">
            <w:pPr>
              <w:shd w:val="clear" w:color="auto" w:fill="FCFCFC"/>
              <w:spacing w:before="100" w:beforeAutospacing="1" w:after="100" w:afterAutospacing="1"/>
              <w:jc w:val="both"/>
              <w:outlineLvl w:val="3"/>
              <w:rPr>
                <w:b/>
                <w:bCs/>
                <w:color w:val="0D0D0D"/>
                <w:lang w:val="es-DO" w:eastAsia="es-DO"/>
              </w:rPr>
            </w:pPr>
            <w:r>
              <w:rPr>
                <w:b/>
                <w:bCs/>
                <w:color w:val="0D0D0D"/>
                <w:lang w:val="es-DO" w:eastAsia="es-DO"/>
              </w:rPr>
              <w:t>3.</w:t>
            </w:r>
            <w:r w:rsidR="003C6FEB" w:rsidRPr="003C6FEB">
              <w:rPr>
                <w:b/>
                <w:bCs/>
                <w:color w:val="0D0D0D"/>
                <w:lang w:val="es-DO" w:eastAsia="es-DO"/>
              </w:rPr>
              <w:t xml:space="preserve"> Síntesis de los hallazgos</w:t>
            </w:r>
          </w:p>
          <w:p w14:paraId="1FE59A0C" w14:textId="77777777"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color w:val="0D0D0D"/>
                <w:lang w:val="es-DO" w:eastAsia="es-DO"/>
              </w:rPr>
              <w:t>Como resultado del proceso de seguimiento, se identificaron actividades pendientes de reporte en cuatro áreas: Finanzas, Calidad en la Gestión, Odontología y Oficina de Acceso a la Información (OAI).</w:t>
            </w:r>
          </w:p>
          <w:p w14:paraId="465380BF" w14:textId="5D63B388"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color w:val="0D0D0D"/>
                <w:lang w:val="es-DO" w:eastAsia="es-DO"/>
              </w:rPr>
              <w:t xml:space="preserve">Finanzas concentra la mayor cantidad de actividades pendientes entre las áreas identificadas, con seis compromisos relacionados con la gestión financiera, el control interno, el registro de activos, la ejecución de fondos y </w:t>
            </w:r>
            <w:r w:rsidR="00AC60A4">
              <w:rPr>
                <w:color w:val="0D0D0D"/>
                <w:lang w:val="es-DO" w:eastAsia="es-DO"/>
              </w:rPr>
              <w:t>e</w:t>
            </w:r>
            <w:r w:rsidRPr="003C6FEB">
              <w:rPr>
                <w:color w:val="0D0D0D"/>
                <w:lang w:val="es-DO" w:eastAsia="es-DO"/>
              </w:rPr>
              <w:t>laboración de información financiera.</w:t>
            </w:r>
          </w:p>
          <w:p w14:paraId="0C7EF6AF" w14:textId="77777777" w:rsidR="003C6FEB" w:rsidRPr="003C6FEB" w:rsidRDefault="003C6FEB" w:rsidP="002A1862">
            <w:pPr>
              <w:shd w:val="clear" w:color="auto" w:fill="FCFCFC"/>
              <w:spacing w:before="100" w:beforeAutospacing="1" w:after="100" w:afterAutospacing="1"/>
              <w:jc w:val="both"/>
              <w:rPr>
                <w:color w:val="0D0D0D"/>
                <w:lang w:val="es-DO" w:eastAsia="es-DO"/>
              </w:rPr>
            </w:pPr>
            <w:r w:rsidRPr="003C6FEB">
              <w:rPr>
                <w:color w:val="0D0D0D"/>
                <w:lang w:val="es-DO" w:eastAsia="es-DO"/>
              </w:rPr>
              <w:t>Por su parte, Calidad en la Gestión, Odontología y la OAI registran una actividad pendiente de presentación de evidencias cada una.</w:t>
            </w:r>
          </w:p>
          <w:p w14:paraId="561A9095" w14:textId="5FBE0F76" w:rsidR="006E5765" w:rsidRPr="003C6FEB" w:rsidRDefault="006E5765" w:rsidP="002A1862">
            <w:pPr>
              <w:shd w:val="clear" w:color="auto" w:fill="FCFCFC"/>
              <w:spacing w:before="100" w:beforeAutospacing="1" w:after="100" w:afterAutospacing="1"/>
              <w:jc w:val="both"/>
            </w:pPr>
          </w:p>
        </w:tc>
      </w:tr>
      <w:permEnd w:id="1300312308"/>
      <w:tr w:rsidR="009D33A4" w:rsidRPr="00CF7536" w14:paraId="515FEA45" w14:textId="77777777" w:rsidTr="003503C8">
        <w:trPr>
          <w:trHeight w:val="195"/>
        </w:trPr>
        <w:tc>
          <w:tcPr>
            <w:tcW w:w="10916" w:type="dxa"/>
            <w:tcBorders>
              <w:left w:val="nil"/>
              <w:right w:val="nil"/>
            </w:tcBorders>
            <w:vAlign w:val="center"/>
          </w:tcPr>
          <w:p w14:paraId="04C02E86" w14:textId="77777777" w:rsidR="009D33A4" w:rsidRDefault="009D33A4" w:rsidP="002A1862">
            <w:pPr>
              <w:spacing w:line="168" w:lineRule="auto"/>
              <w:jc w:val="both"/>
              <w:rPr>
                <w:rFonts w:ascii="Rockwell" w:hAnsi="Rockwell" w:cs="Open Sans"/>
                <w:sz w:val="16"/>
                <w:szCs w:val="16"/>
              </w:rPr>
            </w:pPr>
          </w:p>
          <w:p w14:paraId="5BC57B02" w14:textId="77777777" w:rsidR="00A46AEA" w:rsidRDefault="00A46AEA" w:rsidP="002A1862">
            <w:pPr>
              <w:spacing w:line="168" w:lineRule="auto"/>
              <w:jc w:val="both"/>
              <w:rPr>
                <w:rFonts w:ascii="Rockwell" w:hAnsi="Rockwell" w:cs="Open Sans"/>
                <w:sz w:val="16"/>
                <w:szCs w:val="16"/>
              </w:rPr>
            </w:pPr>
          </w:p>
          <w:p w14:paraId="7A7764B8" w14:textId="6070E2CB" w:rsidR="00A46AEA" w:rsidRPr="00CF7536" w:rsidRDefault="00A46AEA" w:rsidP="002A1862">
            <w:pPr>
              <w:spacing w:line="168" w:lineRule="auto"/>
              <w:jc w:val="both"/>
              <w:rPr>
                <w:rFonts w:ascii="Rockwell" w:hAnsi="Rockwell" w:cs="Open Sans"/>
                <w:sz w:val="16"/>
                <w:szCs w:val="16"/>
              </w:rPr>
            </w:pPr>
          </w:p>
        </w:tc>
      </w:tr>
      <w:tr w:rsidR="007224D1" w:rsidRPr="00CF7536" w14:paraId="03A6E14A" w14:textId="77777777" w:rsidTr="007224D1">
        <w:trPr>
          <w:trHeight w:val="441"/>
        </w:trPr>
        <w:tc>
          <w:tcPr>
            <w:tcW w:w="10916" w:type="dxa"/>
            <w:tcBorders>
              <w:left w:val="nil"/>
              <w:bottom w:val="single" w:sz="4" w:space="0" w:color="auto"/>
              <w:right w:val="nil"/>
            </w:tcBorders>
            <w:shd w:val="clear" w:color="auto" w:fill="0C5277"/>
            <w:vAlign w:val="center"/>
          </w:tcPr>
          <w:p w14:paraId="502702E5" w14:textId="1EDEA69D" w:rsidR="007224D1" w:rsidRPr="00CF7536" w:rsidRDefault="007224D1" w:rsidP="002A1862">
            <w:pPr>
              <w:jc w:val="both"/>
              <w:rPr>
                <w:rFonts w:ascii="Rockwell" w:hAnsi="Rockwell" w:cs="Open Sans"/>
                <w:sz w:val="16"/>
                <w:szCs w:val="16"/>
              </w:rPr>
            </w:pPr>
            <w:r>
              <w:rPr>
                <w:rFonts w:ascii="Rockwell" w:hAnsi="Rockwell"/>
                <w:b/>
                <w:color w:val="FFFFFF" w:themeColor="background1"/>
              </w:rPr>
              <w:t xml:space="preserve">RESULTADOS / </w:t>
            </w:r>
            <w:r w:rsidRPr="007224D1">
              <w:rPr>
                <w:rFonts w:ascii="Rockwell" w:hAnsi="Rockwell"/>
                <w:b/>
                <w:color w:val="FFFFFF" w:themeColor="background1"/>
              </w:rPr>
              <w:t>CONCLUSIONES</w:t>
            </w:r>
          </w:p>
        </w:tc>
      </w:tr>
      <w:tr w:rsidR="007224D1" w:rsidRPr="00CF7536" w14:paraId="361D69DC" w14:textId="77777777" w:rsidTr="00F71CC0">
        <w:tblPrEx>
          <w:tblCellMar>
            <w:left w:w="70" w:type="dxa"/>
            <w:right w:w="70" w:type="dxa"/>
          </w:tblCellMar>
        </w:tblPrEx>
        <w:trPr>
          <w:trHeight w:val="441"/>
        </w:trPr>
        <w:tc>
          <w:tcPr>
            <w:tcW w:w="10916" w:type="dxa"/>
            <w:tcBorders>
              <w:left w:val="single" w:sz="4" w:space="0" w:color="auto"/>
              <w:bottom w:val="single" w:sz="4" w:space="0" w:color="auto"/>
              <w:right w:val="single" w:sz="4" w:space="0" w:color="auto"/>
            </w:tcBorders>
            <w:vAlign w:val="center"/>
          </w:tcPr>
          <w:p w14:paraId="632E0010" w14:textId="77777777" w:rsidR="002A1862" w:rsidRDefault="00DB31FA" w:rsidP="002A1862">
            <w:pPr>
              <w:pStyle w:val="x12ofw9d"/>
              <w:shd w:val="clear" w:color="auto" w:fill="FCFCFC"/>
              <w:jc w:val="both"/>
              <w:rPr>
                <w:color w:val="0D0D0D"/>
              </w:rPr>
            </w:pPr>
            <w:permStart w:id="362576998" w:edGrp="everyone"/>
            <w:r w:rsidRPr="002A1862">
              <w:t xml:space="preserve"> </w:t>
            </w:r>
            <w:r w:rsidR="002A1862" w:rsidRPr="002A1862">
              <w:rPr>
                <w:color w:val="0D0D0D"/>
              </w:rPr>
              <w:t>De acuerdo con los resultados reportados, el proceso alcanzó un 89 % de cumplimiento en la entrega oportuna de evidencias. Sin embargo, se identificaron actividades pendientes de reporte en las áreas de Finanzas, Calidad en la Gestión, Odontología y Oficina de Acceso a la Información.</w:t>
            </w:r>
          </w:p>
          <w:tbl>
            <w:tblPr>
              <w:tblW w:w="7582" w:type="dxa"/>
              <w:tblCellMar>
                <w:left w:w="70" w:type="dxa"/>
                <w:right w:w="70" w:type="dxa"/>
              </w:tblCellMar>
              <w:tblLook w:val="04A0" w:firstRow="1" w:lastRow="0" w:firstColumn="1" w:lastColumn="0" w:noHBand="0" w:noVBand="1"/>
            </w:tblPr>
            <w:tblGrid>
              <w:gridCol w:w="3160"/>
              <w:gridCol w:w="1303"/>
              <w:gridCol w:w="1559"/>
              <w:gridCol w:w="1560"/>
            </w:tblGrid>
            <w:tr w:rsidR="00250EB5" w14:paraId="3AAFA6D5" w14:textId="77777777" w:rsidTr="00250EB5">
              <w:trPr>
                <w:trHeight w:val="457"/>
              </w:trPr>
              <w:tc>
                <w:tcPr>
                  <w:tcW w:w="31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10C6868" w14:textId="77777777" w:rsidR="00250EB5" w:rsidRDefault="00250EB5" w:rsidP="00250EB5">
                  <w:pPr>
                    <w:jc w:val="center"/>
                    <w:rPr>
                      <w:rFonts w:ascii="Calibri" w:hAnsi="Calibri" w:cs="Calibri"/>
                      <w:b/>
                      <w:bCs/>
                      <w:color w:val="000000"/>
                      <w:sz w:val="20"/>
                      <w:szCs w:val="20"/>
                      <w:lang w:val="es-DO" w:eastAsia="es-DO"/>
                    </w:rPr>
                  </w:pPr>
                  <w:r>
                    <w:rPr>
                      <w:rFonts w:ascii="Calibri" w:hAnsi="Calibri" w:cs="Calibri"/>
                      <w:b/>
                      <w:bCs/>
                      <w:color w:val="000000"/>
                      <w:sz w:val="20"/>
                      <w:szCs w:val="20"/>
                    </w:rPr>
                    <w:t xml:space="preserve">Resultados </w:t>
                  </w:r>
                </w:p>
              </w:tc>
              <w:tc>
                <w:tcPr>
                  <w:tcW w:w="1303" w:type="dxa"/>
                  <w:tcBorders>
                    <w:top w:val="single" w:sz="4" w:space="0" w:color="auto"/>
                    <w:left w:val="nil"/>
                    <w:bottom w:val="single" w:sz="4" w:space="0" w:color="auto"/>
                    <w:right w:val="single" w:sz="4" w:space="0" w:color="auto"/>
                  </w:tcBorders>
                  <w:shd w:val="clear" w:color="000000" w:fill="FFFFFF"/>
                  <w:noWrap/>
                  <w:vAlign w:val="center"/>
                  <w:hideMark/>
                </w:tcPr>
                <w:p w14:paraId="240E2ABC"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Planificada</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14:paraId="4E8A36AD"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Ejecutada</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27607685"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w:t>
                  </w:r>
                </w:p>
              </w:tc>
            </w:tr>
            <w:tr w:rsidR="00250EB5" w14:paraId="2F5355FA"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7F9FFD09"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Auditoria Medica</w:t>
                  </w:r>
                </w:p>
              </w:tc>
              <w:tc>
                <w:tcPr>
                  <w:tcW w:w="1303" w:type="dxa"/>
                  <w:tcBorders>
                    <w:top w:val="nil"/>
                    <w:left w:val="nil"/>
                    <w:bottom w:val="single" w:sz="4" w:space="0" w:color="auto"/>
                    <w:right w:val="single" w:sz="4" w:space="0" w:color="auto"/>
                  </w:tcBorders>
                  <w:noWrap/>
                  <w:vAlign w:val="center"/>
                  <w:hideMark/>
                </w:tcPr>
                <w:p w14:paraId="37BB434C"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3</w:t>
                  </w:r>
                </w:p>
              </w:tc>
              <w:tc>
                <w:tcPr>
                  <w:tcW w:w="1559" w:type="dxa"/>
                  <w:tcBorders>
                    <w:top w:val="nil"/>
                    <w:left w:val="nil"/>
                    <w:bottom w:val="single" w:sz="4" w:space="0" w:color="auto"/>
                    <w:right w:val="single" w:sz="4" w:space="0" w:color="auto"/>
                  </w:tcBorders>
                  <w:noWrap/>
                  <w:vAlign w:val="center"/>
                  <w:hideMark/>
                </w:tcPr>
                <w:p w14:paraId="26118C5C"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3</w:t>
                  </w:r>
                </w:p>
              </w:tc>
              <w:tc>
                <w:tcPr>
                  <w:tcW w:w="1560" w:type="dxa"/>
                  <w:tcBorders>
                    <w:top w:val="nil"/>
                    <w:left w:val="nil"/>
                    <w:bottom w:val="single" w:sz="4" w:space="0" w:color="auto"/>
                    <w:right w:val="single" w:sz="4" w:space="0" w:color="auto"/>
                  </w:tcBorders>
                  <w:noWrap/>
                  <w:vAlign w:val="center"/>
                  <w:hideMark/>
                </w:tcPr>
                <w:p w14:paraId="0A425F6C"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6013E425"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2B1623F3"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Bioseguridad</w:t>
                  </w:r>
                </w:p>
              </w:tc>
              <w:tc>
                <w:tcPr>
                  <w:tcW w:w="1303" w:type="dxa"/>
                  <w:tcBorders>
                    <w:top w:val="nil"/>
                    <w:left w:val="nil"/>
                    <w:bottom w:val="single" w:sz="4" w:space="0" w:color="auto"/>
                    <w:right w:val="single" w:sz="4" w:space="0" w:color="auto"/>
                  </w:tcBorders>
                  <w:noWrap/>
                  <w:vAlign w:val="center"/>
                  <w:hideMark/>
                </w:tcPr>
                <w:p w14:paraId="0B6DE9BD"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4</w:t>
                  </w:r>
                </w:p>
              </w:tc>
              <w:tc>
                <w:tcPr>
                  <w:tcW w:w="1559" w:type="dxa"/>
                  <w:tcBorders>
                    <w:top w:val="nil"/>
                    <w:left w:val="nil"/>
                    <w:bottom w:val="single" w:sz="4" w:space="0" w:color="auto"/>
                    <w:right w:val="single" w:sz="4" w:space="0" w:color="auto"/>
                  </w:tcBorders>
                  <w:noWrap/>
                  <w:vAlign w:val="center"/>
                  <w:hideMark/>
                </w:tcPr>
                <w:p w14:paraId="12AC9D94"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4</w:t>
                  </w:r>
                </w:p>
              </w:tc>
              <w:tc>
                <w:tcPr>
                  <w:tcW w:w="1560" w:type="dxa"/>
                  <w:tcBorders>
                    <w:top w:val="nil"/>
                    <w:left w:val="nil"/>
                    <w:bottom w:val="single" w:sz="4" w:space="0" w:color="auto"/>
                    <w:right w:val="single" w:sz="4" w:space="0" w:color="auto"/>
                  </w:tcBorders>
                  <w:noWrap/>
                  <w:vAlign w:val="center"/>
                  <w:hideMark/>
                </w:tcPr>
                <w:p w14:paraId="0325E6CC"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281F5956"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76243695"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Calidad de los Servicios</w:t>
                  </w:r>
                </w:p>
              </w:tc>
              <w:tc>
                <w:tcPr>
                  <w:tcW w:w="1303" w:type="dxa"/>
                  <w:tcBorders>
                    <w:top w:val="nil"/>
                    <w:left w:val="nil"/>
                    <w:bottom w:val="single" w:sz="4" w:space="0" w:color="auto"/>
                    <w:right w:val="single" w:sz="4" w:space="0" w:color="auto"/>
                  </w:tcBorders>
                  <w:noWrap/>
                  <w:vAlign w:val="center"/>
                  <w:hideMark/>
                </w:tcPr>
                <w:p w14:paraId="664EEC7C"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16</w:t>
                  </w:r>
                </w:p>
              </w:tc>
              <w:tc>
                <w:tcPr>
                  <w:tcW w:w="1559" w:type="dxa"/>
                  <w:tcBorders>
                    <w:top w:val="nil"/>
                    <w:left w:val="nil"/>
                    <w:bottom w:val="single" w:sz="4" w:space="0" w:color="auto"/>
                    <w:right w:val="single" w:sz="4" w:space="0" w:color="auto"/>
                  </w:tcBorders>
                  <w:noWrap/>
                  <w:vAlign w:val="center"/>
                  <w:hideMark/>
                </w:tcPr>
                <w:p w14:paraId="7CD342B6"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16</w:t>
                  </w:r>
                </w:p>
              </w:tc>
              <w:tc>
                <w:tcPr>
                  <w:tcW w:w="1560" w:type="dxa"/>
                  <w:tcBorders>
                    <w:top w:val="nil"/>
                    <w:left w:val="nil"/>
                    <w:bottom w:val="single" w:sz="4" w:space="0" w:color="auto"/>
                    <w:right w:val="single" w:sz="4" w:space="0" w:color="auto"/>
                  </w:tcBorders>
                  <w:noWrap/>
                  <w:vAlign w:val="center"/>
                  <w:hideMark/>
                </w:tcPr>
                <w:p w14:paraId="4FB32F03"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4B778C93"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55B30A83"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Calidad en la Gestión</w:t>
                  </w:r>
                </w:p>
              </w:tc>
              <w:tc>
                <w:tcPr>
                  <w:tcW w:w="1303" w:type="dxa"/>
                  <w:tcBorders>
                    <w:top w:val="nil"/>
                    <w:left w:val="nil"/>
                    <w:bottom w:val="single" w:sz="4" w:space="0" w:color="auto"/>
                    <w:right w:val="single" w:sz="4" w:space="0" w:color="auto"/>
                  </w:tcBorders>
                  <w:noWrap/>
                  <w:vAlign w:val="center"/>
                  <w:hideMark/>
                </w:tcPr>
                <w:p w14:paraId="50A72E5D"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6</w:t>
                  </w:r>
                </w:p>
              </w:tc>
              <w:tc>
                <w:tcPr>
                  <w:tcW w:w="1559" w:type="dxa"/>
                  <w:tcBorders>
                    <w:top w:val="nil"/>
                    <w:left w:val="nil"/>
                    <w:bottom w:val="single" w:sz="4" w:space="0" w:color="auto"/>
                    <w:right w:val="single" w:sz="4" w:space="0" w:color="auto"/>
                  </w:tcBorders>
                  <w:noWrap/>
                  <w:vAlign w:val="center"/>
                  <w:hideMark/>
                </w:tcPr>
                <w:p w14:paraId="38AA7968"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5</w:t>
                  </w:r>
                </w:p>
              </w:tc>
              <w:tc>
                <w:tcPr>
                  <w:tcW w:w="1560" w:type="dxa"/>
                  <w:tcBorders>
                    <w:top w:val="nil"/>
                    <w:left w:val="nil"/>
                    <w:bottom w:val="single" w:sz="4" w:space="0" w:color="auto"/>
                    <w:right w:val="single" w:sz="4" w:space="0" w:color="auto"/>
                  </w:tcBorders>
                  <w:noWrap/>
                  <w:vAlign w:val="center"/>
                  <w:hideMark/>
                </w:tcPr>
                <w:p w14:paraId="7F005987"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83%</w:t>
                  </w:r>
                </w:p>
              </w:tc>
            </w:tr>
            <w:tr w:rsidR="00250EB5" w14:paraId="447BA3A7" w14:textId="77777777" w:rsidTr="00250EB5">
              <w:trPr>
                <w:trHeight w:val="288"/>
              </w:trPr>
              <w:tc>
                <w:tcPr>
                  <w:tcW w:w="3160" w:type="dxa"/>
                  <w:tcBorders>
                    <w:top w:val="nil"/>
                    <w:left w:val="single" w:sz="4" w:space="0" w:color="auto"/>
                    <w:bottom w:val="single" w:sz="4" w:space="0" w:color="auto"/>
                    <w:right w:val="single" w:sz="4" w:space="0" w:color="auto"/>
                  </w:tcBorders>
                  <w:vAlign w:val="bottom"/>
                  <w:hideMark/>
                </w:tcPr>
                <w:p w14:paraId="4458B90C"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Compras</w:t>
                  </w:r>
                </w:p>
              </w:tc>
              <w:tc>
                <w:tcPr>
                  <w:tcW w:w="1303" w:type="dxa"/>
                  <w:tcBorders>
                    <w:top w:val="nil"/>
                    <w:left w:val="nil"/>
                    <w:bottom w:val="single" w:sz="4" w:space="0" w:color="auto"/>
                    <w:right w:val="single" w:sz="4" w:space="0" w:color="auto"/>
                  </w:tcBorders>
                  <w:noWrap/>
                  <w:vAlign w:val="center"/>
                  <w:hideMark/>
                </w:tcPr>
                <w:p w14:paraId="1ABFCC71"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1</w:t>
                  </w:r>
                </w:p>
              </w:tc>
              <w:tc>
                <w:tcPr>
                  <w:tcW w:w="1559" w:type="dxa"/>
                  <w:tcBorders>
                    <w:top w:val="nil"/>
                    <w:left w:val="nil"/>
                    <w:bottom w:val="single" w:sz="4" w:space="0" w:color="auto"/>
                    <w:right w:val="single" w:sz="4" w:space="0" w:color="auto"/>
                  </w:tcBorders>
                  <w:noWrap/>
                  <w:vAlign w:val="center"/>
                  <w:hideMark/>
                </w:tcPr>
                <w:p w14:paraId="4B12BEAD"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1</w:t>
                  </w:r>
                </w:p>
              </w:tc>
              <w:tc>
                <w:tcPr>
                  <w:tcW w:w="1560" w:type="dxa"/>
                  <w:tcBorders>
                    <w:top w:val="nil"/>
                    <w:left w:val="nil"/>
                    <w:bottom w:val="single" w:sz="4" w:space="0" w:color="auto"/>
                    <w:right w:val="single" w:sz="4" w:space="0" w:color="auto"/>
                  </w:tcBorders>
                  <w:noWrap/>
                  <w:vAlign w:val="center"/>
                  <w:hideMark/>
                </w:tcPr>
                <w:p w14:paraId="2929D275"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43E4D167"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56420CA4"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Departamento Médico</w:t>
                  </w:r>
                </w:p>
              </w:tc>
              <w:tc>
                <w:tcPr>
                  <w:tcW w:w="1303" w:type="dxa"/>
                  <w:tcBorders>
                    <w:top w:val="nil"/>
                    <w:left w:val="nil"/>
                    <w:bottom w:val="single" w:sz="4" w:space="0" w:color="auto"/>
                    <w:right w:val="single" w:sz="4" w:space="0" w:color="auto"/>
                  </w:tcBorders>
                  <w:noWrap/>
                  <w:vAlign w:val="center"/>
                  <w:hideMark/>
                </w:tcPr>
                <w:p w14:paraId="3EEBDAA7"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2</w:t>
                  </w:r>
                </w:p>
              </w:tc>
              <w:tc>
                <w:tcPr>
                  <w:tcW w:w="1559" w:type="dxa"/>
                  <w:tcBorders>
                    <w:top w:val="nil"/>
                    <w:left w:val="nil"/>
                    <w:bottom w:val="single" w:sz="4" w:space="0" w:color="auto"/>
                    <w:right w:val="single" w:sz="4" w:space="0" w:color="auto"/>
                  </w:tcBorders>
                  <w:noWrap/>
                  <w:vAlign w:val="center"/>
                  <w:hideMark/>
                </w:tcPr>
                <w:p w14:paraId="793001CB"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2</w:t>
                  </w:r>
                </w:p>
              </w:tc>
              <w:tc>
                <w:tcPr>
                  <w:tcW w:w="1560" w:type="dxa"/>
                  <w:tcBorders>
                    <w:top w:val="nil"/>
                    <w:left w:val="nil"/>
                    <w:bottom w:val="single" w:sz="4" w:space="0" w:color="auto"/>
                    <w:right w:val="single" w:sz="4" w:space="0" w:color="auto"/>
                  </w:tcBorders>
                  <w:noWrap/>
                  <w:vAlign w:val="center"/>
                  <w:hideMark/>
                </w:tcPr>
                <w:p w14:paraId="41C1D3BD"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19567121" w14:textId="77777777" w:rsidTr="00250EB5">
              <w:trPr>
                <w:trHeight w:val="411"/>
              </w:trPr>
              <w:tc>
                <w:tcPr>
                  <w:tcW w:w="3160" w:type="dxa"/>
                  <w:tcBorders>
                    <w:top w:val="nil"/>
                    <w:left w:val="single" w:sz="4" w:space="0" w:color="auto"/>
                    <w:bottom w:val="single" w:sz="4" w:space="0" w:color="auto"/>
                    <w:right w:val="single" w:sz="4" w:space="0" w:color="auto"/>
                  </w:tcBorders>
                  <w:vAlign w:val="bottom"/>
                  <w:hideMark/>
                </w:tcPr>
                <w:p w14:paraId="3C422ACB"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Electromedicina y Operaciones</w:t>
                  </w:r>
                </w:p>
              </w:tc>
              <w:tc>
                <w:tcPr>
                  <w:tcW w:w="1303" w:type="dxa"/>
                  <w:tcBorders>
                    <w:top w:val="nil"/>
                    <w:left w:val="nil"/>
                    <w:bottom w:val="single" w:sz="4" w:space="0" w:color="auto"/>
                    <w:right w:val="single" w:sz="4" w:space="0" w:color="auto"/>
                  </w:tcBorders>
                  <w:noWrap/>
                  <w:vAlign w:val="center"/>
                  <w:hideMark/>
                </w:tcPr>
                <w:p w14:paraId="5170876F"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2</w:t>
                  </w:r>
                </w:p>
              </w:tc>
              <w:tc>
                <w:tcPr>
                  <w:tcW w:w="1559" w:type="dxa"/>
                  <w:tcBorders>
                    <w:top w:val="nil"/>
                    <w:left w:val="nil"/>
                    <w:bottom w:val="single" w:sz="4" w:space="0" w:color="auto"/>
                    <w:right w:val="single" w:sz="4" w:space="0" w:color="auto"/>
                  </w:tcBorders>
                  <w:noWrap/>
                  <w:vAlign w:val="center"/>
                  <w:hideMark/>
                </w:tcPr>
                <w:p w14:paraId="6508976C"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2</w:t>
                  </w:r>
                </w:p>
              </w:tc>
              <w:tc>
                <w:tcPr>
                  <w:tcW w:w="1560" w:type="dxa"/>
                  <w:tcBorders>
                    <w:top w:val="nil"/>
                    <w:left w:val="nil"/>
                    <w:bottom w:val="single" w:sz="4" w:space="0" w:color="auto"/>
                    <w:right w:val="single" w:sz="4" w:space="0" w:color="auto"/>
                  </w:tcBorders>
                  <w:noWrap/>
                  <w:vAlign w:val="center"/>
                  <w:hideMark/>
                </w:tcPr>
                <w:p w14:paraId="15A5EBDE"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34A2CE2A"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243EAB6C"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Enfermería</w:t>
                  </w:r>
                </w:p>
              </w:tc>
              <w:tc>
                <w:tcPr>
                  <w:tcW w:w="1303" w:type="dxa"/>
                  <w:tcBorders>
                    <w:top w:val="nil"/>
                    <w:left w:val="nil"/>
                    <w:bottom w:val="single" w:sz="4" w:space="0" w:color="auto"/>
                    <w:right w:val="single" w:sz="4" w:space="0" w:color="auto"/>
                  </w:tcBorders>
                  <w:noWrap/>
                  <w:vAlign w:val="center"/>
                  <w:hideMark/>
                </w:tcPr>
                <w:p w14:paraId="13431D10"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3</w:t>
                  </w:r>
                </w:p>
              </w:tc>
              <w:tc>
                <w:tcPr>
                  <w:tcW w:w="1559" w:type="dxa"/>
                  <w:tcBorders>
                    <w:top w:val="nil"/>
                    <w:left w:val="nil"/>
                    <w:bottom w:val="single" w:sz="4" w:space="0" w:color="auto"/>
                    <w:right w:val="single" w:sz="4" w:space="0" w:color="auto"/>
                  </w:tcBorders>
                  <w:noWrap/>
                  <w:vAlign w:val="center"/>
                  <w:hideMark/>
                </w:tcPr>
                <w:p w14:paraId="10BEA597"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3</w:t>
                  </w:r>
                </w:p>
              </w:tc>
              <w:tc>
                <w:tcPr>
                  <w:tcW w:w="1560" w:type="dxa"/>
                  <w:tcBorders>
                    <w:top w:val="nil"/>
                    <w:left w:val="nil"/>
                    <w:bottom w:val="single" w:sz="4" w:space="0" w:color="auto"/>
                    <w:right w:val="single" w:sz="4" w:space="0" w:color="auto"/>
                  </w:tcBorders>
                  <w:noWrap/>
                  <w:vAlign w:val="center"/>
                  <w:hideMark/>
                </w:tcPr>
                <w:p w14:paraId="7CE33CDC"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79FAEEEC"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64CC000A"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Epidemiología</w:t>
                  </w:r>
                </w:p>
              </w:tc>
              <w:tc>
                <w:tcPr>
                  <w:tcW w:w="1303" w:type="dxa"/>
                  <w:tcBorders>
                    <w:top w:val="nil"/>
                    <w:left w:val="nil"/>
                    <w:bottom w:val="single" w:sz="4" w:space="0" w:color="auto"/>
                    <w:right w:val="single" w:sz="4" w:space="0" w:color="auto"/>
                  </w:tcBorders>
                  <w:noWrap/>
                  <w:vAlign w:val="center"/>
                  <w:hideMark/>
                </w:tcPr>
                <w:p w14:paraId="012A7739"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1</w:t>
                  </w:r>
                </w:p>
              </w:tc>
              <w:tc>
                <w:tcPr>
                  <w:tcW w:w="1559" w:type="dxa"/>
                  <w:tcBorders>
                    <w:top w:val="nil"/>
                    <w:left w:val="nil"/>
                    <w:bottom w:val="single" w:sz="4" w:space="0" w:color="auto"/>
                    <w:right w:val="single" w:sz="4" w:space="0" w:color="auto"/>
                  </w:tcBorders>
                  <w:noWrap/>
                  <w:vAlign w:val="center"/>
                  <w:hideMark/>
                </w:tcPr>
                <w:p w14:paraId="552C7549"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1</w:t>
                  </w:r>
                </w:p>
              </w:tc>
              <w:tc>
                <w:tcPr>
                  <w:tcW w:w="1560" w:type="dxa"/>
                  <w:tcBorders>
                    <w:top w:val="nil"/>
                    <w:left w:val="nil"/>
                    <w:bottom w:val="single" w:sz="4" w:space="0" w:color="auto"/>
                    <w:right w:val="single" w:sz="4" w:space="0" w:color="auto"/>
                  </w:tcBorders>
                  <w:noWrap/>
                  <w:vAlign w:val="center"/>
                  <w:hideMark/>
                </w:tcPr>
                <w:p w14:paraId="259C5879"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37B6CC39"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2AACD330"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lastRenderedPageBreak/>
                    <w:t>Facturación</w:t>
                  </w:r>
                </w:p>
              </w:tc>
              <w:tc>
                <w:tcPr>
                  <w:tcW w:w="1303" w:type="dxa"/>
                  <w:tcBorders>
                    <w:top w:val="nil"/>
                    <w:left w:val="nil"/>
                    <w:bottom w:val="single" w:sz="4" w:space="0" w:color="auto"/>
                    <w:right w:val="single" w:sz="4" w:space="0" w:color="auto"/>
                  </w:tcBorders>
                  <w:noWrap/>
                  <w:vAlign w:val="center"/>
                  <w:hideMark/>
                </w:tcPr>
                <w:p w14:paraId="432EB13A"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2</w:t>
                  </w:r>
                </w:p>
              </w:tc>
              <w:tc>
                <w:tcPr>
                  <w:tcW w:w="1559" w:type="dxa"/>
                  <w:tcBorders>
                    <w:top w:val="nil"/>
                    <w:left w:val="nil"/>
                    <w:bottom w:val="single" w:sz="4" w:space="0" w:color="auto"/>
                    <w:right w:val="single" w:sz="4" w:space="0" w:color="auto"/>
                  </w:tcBorders>
                  <w:noWrap/>
                  <w:vAlign w:val="center"/>
                  <w:hideMark/>
                </w:tcPr>
                <w:p w14:paraId="7151E146"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2</w:t>
                  </w:r>
                </w:p>
              </w:tc>
              <w:tc>
                <w:tcPr>
                  <w:tcW w:w="1560" w:type="dxa"/>
                  <w:tcBorders>
                    <w:top w:val="nil"/>
                    <w:left w:val="nil"/>
                    <w:bottom w:val="single" w:sz="4" w:space="0" w:color="auto"/>
                    <w:right w:val="single" w:sz="4" w:space="0" w:color="auto"/>
                  </w:tcBorders>
                  <w:noWrap/>
                  <w:vAlign w:val="center"/>
                  <w:hideMark/>
                </w:tcPr>
                <w:p w14:paraId="6D3C2726"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7F0327F6"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7AC58470"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Farmacia</w:t>
                  </w:r>
                </w:p>
              </w:tc>
              <w:tc>
                <w:tcPr>
                  <w:tcW w:w="1303" w:type="dxa"/>
                  <w:tcBorders>
                    <w:top w:val="nil"/>
                    <w:left w:val="nil"/>
                    <w:bottom w:val="single" w:sz="4" w:space="0" w:color="auto"/>
                    <w:right w:val="single" w:sz="4" w:space="0" w:color="auto"/>
                  </w:tcBorders>
                  <w:noWrap/>
                  <w:vAlign w:val="center"/>
                  <w:hideMark/>
                </w:tcPr>
                <w:p w14:paraId="0676C5CF"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1</w:t>
                  </w:r>
                </w:p>
              </w:tc>
              <w:tc>
                <w:tcPr>
                  <w:tcW w:w="1559" w:type="dxa"/>
                  <w:tcBorders>
                    <w:top w:val="nil"/>
                    <w:left w:val="nil"/>
                    <w:bottom w:val="single" w:sz="4" w:space="0" w:color="auto"/>
                    <w:right w:val="single" w:sz="4" w:space="0" w:color="auto"/>
                  </w:tcBorders>
                  <w:noWrap/>
                  <w:vAlign w:val="center"/>
                  <w:hideMark/>
                </w:tcPr>
                <w:p w14:paraId="158F5943"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1</w:t>
                  </w:r>
                </w:p>
              </w:tc>
              <w:tc>
                <w:tcPr>
                  <w:tcW w:w="1560" w:type="dxa"/>
                  <w:tcBorders>
                    <w:top w:val="nil"/>
                    <w:left w:val="nil"/>
                    <w:bottom w:val="single" w:sz="4" w:space="0" w:color="auto"/>
                    <w:right w:val="single" w:sz="4" w:space="0" w:color="auto"/>
                  </w:tcBorders>
                  <w:noWrap/>
                  <w:vAlign w:val="center"/>
                  <w:hideMark/>
                </w:tcPr>
                <w:p w14:paraId="3760289F"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5EAA1B9A"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3720FE28"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Departamento Financiero</w:t>
                  </w:r>
                </w:p>
              </w:tc>
              <w:tc>
                <w:tcPr>
                  <w:tcW w:w="1303" w:type="dxa"/>
                  <w:tcBorders>
                    <w:top w:val="nil"/>
                    <w:left w:val="nil"/>
                    <w:bottom w:val="single" w:sz="4" w:space="0" w:color="auto"/>
                    <w:right w:val="single" w:sz="4" w:space="0" w:color="auto"/>
                  </w:tcBorders>
                  <w:noWrap/>
                  <w:vAlign w:val="center"/>
                  <w:hideMark/>
                </w:tcPr>
                <w:p w14:paraId="07C30CB1"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10</w:t>
                  </w:r>
                </w:p>
              </w:tc>
              <w:tc>
                <w:tcPr>
                  <w:tcW w:w="1559" w:type="dxa"/>
                  <w:tcBorders>
                    <w:top w:val="nil"/>
                    <w:left w:val="nil"/>
                    <w:bottom w:val="single" w:sz="4" w:space="0" w:color="auto"/>
                    <w:right w:val="single" w:sz="4" w:space="0" w:color="auto"/>
                  </w:tcBorders>
                  <w:noWrap/>
                  <w:vAlign w:val="center"/>
                  <w:hideMark/>
                </w:tcPr>
                <w:p w14:paraId="60CA92B4"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4</w:t>
                  </w:r>
                </w:p>
              </w:tc>
              <w:tc>
                <w:tcPr>
                  <w:tcW w:w="1560" w:type="dxa"/>
                  <w:tcBorders>
                    <w:top w:val="nil"/>
                    <w:left w:val="nil"/>
                    <w:bottom w:val="single" w:sz="4" w:space="0" w:color="auto"/>
                    <w:right w:val="single" w:sz="4" w:space="0" w:color="auto"/>
                  </w:tcBorders>
                  <w:noWrap/>
                  <w:vAlign w:val="center"/>
                  <w:hideMark/>
                </w:tcPr>
                <w:p w14:paraId="566AEA44"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40%</w:t>
                  </w:r>
                </w:p>
              </w:tc>
            </w:tr>
            <w:tr w:rsidR="00250EB5" w14:paraId="0BC42DE3"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3EF1C82C"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Gestión Usuarios</w:t>
                  </w:r>
                </w:p>
              </w:tc>
              <w:tc>
                <w:tcPr>
                  <w:tcW w:w="1303" w:type="dxa"/>
                  <w:tcBorders>
                    <w:top w:val="nil"/>
                    <w:left w:val="nil"/>
                    <w:bottom w:val="single" w:sz="4" w:space="0" w:color="auto"/>
                    <w:right w:val="single" w:sz="4" w:space="0" w:color="auto"/>
                  </w:tcBorders>
                  <w:noWrap/>
                  <w:vAlign w:val="center"/>
                  <w:hideMark/>
                </w:tcPr>
                <w:p w14:paraId="5C992908"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5</w:t>
                  </w:r>
                </w:p>
              </w:tc>
              <w:tc>
                <w:tcPr>
                  <w:tcW w:w="1559" w:type="dxa"/>
                  <w:tcBorders>
                    <w:top w:val="nil"/>
                    <w:left w:val="nil"/>
                    <w:bottom w:val="single" w:sz="4" w:space="0" w:color="auto"/>
                    <w:right w:val="single" w:sz="4" w:space="0" w:color="auto"/>
                  </w:tcBorders>
                  <w:noWrap/>
                  <w:vAlign w:val="center"/>
                  <w:hideMark/>
                </w:tcPr>
                <w:p w14:paraId="7AC80B11"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5</w:t>
                  </w:r>
                </w:p>
              </w:tc>
              <w:tc>
                <w:tcPr>
                  <w:tcW w:w="1560" w:type="dxa"/>
                  <w:tcBorders>
                    <w:top w:val="nil"/>
                    <w:left w:val="nil"/>
                    <w:bottom w:val="single" w:sz="4" w:space="0" w:color="auto"/>
                    <w:right w:val="single" w:sz="4" w:space="0" w:color="auto"/>
                  </w:tcBorders>
                  <w:noWrap/>
                  <w:vAlign w:val="center"/>
                  <w:hideMark/>
                </w:tcPr>
                <w:p w14:paraId="675D9258"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334A724E"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002110DF"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Infecciones</w:t>
                  </w:r>
                </w:p>
              </w:tc>
              <w:tc>
                <w:tcPr>
                  <w:tcW w:w="1303" w:type="dxa"/>
                  <w:tcBorders>
                    <w:top w:val="nil"/>
                    <w:left w:val="nil"/>
                    <w:bottom w:val="single" w:sz="4" w:space="0" w:color="auto"/>
                    <w:right w:val="single" w:sz="4" w:space="0" w:color="auto"/>
                  </w:tcBorders>
                  <w:noWrap/>
                  <w:vAlign w:val="center"/>
                  <w:hideMark/>
                </w:tcPr>
                <w:p w14:paraId="0F90DF5B"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2</w:t>
                  </w:r>
                </w:p>
              </w:tc>
              <w:tc>
                <w:tcPr>
                  <w:tcW w:w="1559" w:type="dxa"/>
                  <w:tcBorders>
                    <w:top w:val="nil"/>
                    <w:left w:val="nil"/>
                    <w:bottom w:val="single" w:sz="4" w:space="0" w:color="auto"/>
                    <w:right w:val="single" w:sz="4" w:space="0" w:color="auto"/>
                  </w:tcBorders>
                  <w:noWrap/>
                  <w:vAlign w:val="center"/>
                  <w:hideMark/>
                </w:tcPr>
                <w:p w14:paraId="43D55D35"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2</w:t>
                  </w:r>
                </w:p>
              </w:tc>
              <w:tc>
                <w:tcPr>
                  <w:tcW w:w="1560" w:type="dxa"/>
                  <w:tcBorders>
                    <w:top w:val="nil"/>
                    <w:left w:val="nil"/>
                    <w:bottom w:val="single" w:sz="4" w:space="0" w:color="auto"/>
                    <w:right w:val="single" w:sz="4" w:space="0" w:color="auto"/>
                  </w:tcBorders>
                  <w:noWrap/>
                  <w:vAlign w:val="center"/>
                  <w:hideMark/>
                </w:tcPr>
                <w:p w14:paraId="6B659678"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5E173B96"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4A0FE5CA" w14:textId="01D3D47C"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Laboratorio Clínico</w:t>
                  </w:r>
                </w:p>
              </w:tc>
              <w:tc>
                <w:tcPr>
                  <w:tcW w:w="1303" w:type="dxa"/>
                  <w:tcBorders>
                    <w:top w:val="nil"/>
                    <w:left w:val="nil"/>
                    <w:bottom w:val="single" w:sz="4" w:space="0" w:color="auto"/>
                    <w:right w:val="single" w:sz="4" w:space="0" w:color="auto"/>
                  </w:tcBorders>
                  <w:noWrap/>
                  <w:vAlign w:val="center"/>
                  <w:hideMark/>
                </w:tcPr>
                <w:p w14:paraId="5EEF4CD9"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4</w:t>
                  </w:r>
                </w:p>
              </w:tc>
              <w:tc>
                <w:tcPr>
                  <w:tcW w:w="1559" w:type="dxa"/>
                  <w:tcBorders>
                    <w:top w:val="nil"/>
                    <w:left w:val="nil"/>
                    <w:bottom w:val="single" w:sz="4" w:space="0" w:color="auto"/>
                    <w:right w:val="single" w:sz="4" w:space="0" w:color="auto"/>
                  </w:tcBorders>
                  <w:noWrap/>
                  <w:vAlign w:val="center"/>
                  <w:hideMark/>
                </w:tcPr>
                <w:p w14:paraId="1D641233"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4</w:t>
                  </w:r>
                </w:p>
              </w:tc>
              <w:tc>
                <w:tcPr>
                  <w:tcW w:w="1560" w:type="dxa"/>
                  <w:tcBorders>
                    <w:top w:val="nil"/>
                    <w:left w:val="nil"/>
                    <w:bottom w:val="single" w:sz="4" w:space="0" w:color="auto"/>
                    <w:right w:val="single" w:sz="4" w:space="0" w:color="auto"/>
                  </w:tcBorders>
                  <w:noWrap/>
                  <w:vAlign w:val="center"/>
                  <w:hideMark/>
                </w:tcPr>
                <w:p w14:paraId="231B018D"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10B8EB5F"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3C55E0A1"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Imágenes</w:t>
                  </w:r>
                </w:p>
              </w:tc>
              <w:tc>
                <w:tcPr>
                  <w:tcW w:w="1303" w:type="dxa"/>
                  <w:tcBorders>
                    <w:top w:val="nil"/>
                    <w:left w:val="nil"/>
                    <w:bottom w:val="single" w:sz="4" w:space="0" w:color="auto"/>
                    <w:right w:val="single" w:sz="4" w:space="0" w:color="auto"/>
                  </w:tcBorders>
                  <w:noWrap/>
                  <w:vAlign w:val="center"/>
                  <w:hideMark/>
                </w:tcPr>
                <w:p w14:paraId="459752FC"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2</w:t>
                  </w:r>
                </w:p>
              </w:tc>
              <w:tc>
                <w:tcPr>
                  <w:tcW w:w="1559" w:type="dxa"/>
                  <w:tcBorders>
                    <w:top w:val="nil"/>
                    <w:left w:val="nil"/>
                    <w:bottom w:val="single" w:sz="4" w:space="0" w:color="auto"/>
                    <w:right w:val="single" w:sz="4" w:space="0" w:color="auto"/>
                  </w:tcBorders>
                  <w:noWrap/>
                  <w:vAlign w:val="center"/>
                  <w:hideMark/>
                </w:tcPr>
                <w:p w14:paraId="595766DC"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2</w:t>
                  </w:r>
                </w:p>
              </w:tc>
              <w:tc>
                <w:tcPr>
                  <w:tcW w:w="1560" w:type="dxa"/>
                  <w:tcBorders>
                    <w:top w:val="nil"/>
                    <w:left w:val="nil"/>
                    <w:bottom w:val="single" w:sz="4" w:space="0" w:color="auto"/>
                    <w:right w:val="single" w:sz="4" w:space="0" w:color="auto"/>
                  </w:tcBorders>
                  <w:noWrap/>
                  <w:vAlign w:val="center"/>
                  <w:hideMark/>
                </w:tcPr>
                <w:p w14:paraId="0911F38C"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26185AF0"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212A671E"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Mercadeo</w:t>
                  </w:r>
                </w:p>
              </w:tc>
              <w:tc>
                <w:tcPr>
                  <w:tcW w:w="1303" w:type="dxa"/>
                  <w:tcBorders>
                    <w:top w:val="nil"/>
                    <w:left w:val="nil"/>
                    <w:bottom w:val="single" w:sz="4" w:space="0" w:color="auto"/>
                    <w:right w:val="single" w:sz="4" w:space="0" w:color="auto"/>
                  </w:tcBorders>
                  <w:noWrap/>
                  <w:vAlign w:val="center"/>
                  <w:hideMark/>
                </w:tcPr>
                <w:p w14:paraId="72C2A7F0"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5</w:t>
                  </w:r>
                </w:p>
              </w:tc>
              <w:tc>
                <w:tcPr>
                  <w:tcW w:w="1559" w:type="dxa"/>
                  <w:tcBorders>
                    <w:top w:val="nil"/>
                    <w:left w:val="nil"/>
                    <w:bottom w:val="single" w:sz="4" w:space="0" w:color="auto"/>
                    <w:right w:val="single" w:sz="4" w:space="0" w:color="auto"/>
                  </w:tcBorders>
                  <w:noWrap/>
                  <w:vAlign w:val="center"/>
                  <w:hideMark/>
                </w:tcPr>
                <w:p w14:paraId="30B18B50"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5</w:t>
                  </w:r>
                </w:p>
              </w:tc>
              <w:tc>
                <w:tcPr>
                  <w:tcW w:w="1560" w:type="dxa"/>
                  <w:tcBorders>
                    <w:top w:val="nil"/>
                    <w:left w:val="nil"/>
                    <w:bottom w:val="single" w:sz="4" w:space="0" w:color="auto"/>
                    <w:right w:val="single" w:sz="4" w:space="0" w:color="auto"/>
                  </w:tcBorders>
                  <w:noWrap/>
                  <w:vAlign w:val="center"/>
                  <w:hideMark/>
                </w:tcPr>
                <w:p w14:paraId="263A4FE9"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0BD80F73"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0F6572FF"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OAI</w:t>
                  </w:r>
                </w:p>
              </w:tc>
              <w:tc>
                <w:tcPr>
                  <w:tcW w:w="1303" w:type="dxa"/>
                  <w:tcBorders>
                    <w:top w:val="nil"/>
                    <w:left w:val="nil"/>
                    <w:bottom w:val="single" w:sz="4" w:space="0" w:color="auto"/>
                    <w:right w:val="single" w:sz="4" w:space="0" w:color="auto"/>
                  </w:tcBorders>
                  <w:noWrap/>
                  <w:vAlign w:val="center"/>
                  <w:hideMark/>
                </w:tcPr>
                <w:p w14:paraId="41F950E4"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4</w:t>
                  </w:r>
                </w:p>
              </w:tc>
              <w:tc>
                <w:tcPr>
                  <w:tcW w:w="1559" w:type="dxa"/>
                  <w:tcBorders>
                    <w:top w:val="nil"/>
                    <w:left w:val="nil"/>
                    <w:bottom w:val="single" w:sz="4" w:space="0" w:color="auto"/>
                    <w:right w:val="single" w:sz="4" w:space="0" w:color="auto"/>
                  </w:tcBorders>
                  <w:noWrap/>
                  <w:vAlign w:val="center"/>
                  <w:hideMark/>
                </w:tcPr>
                <w:p w14:paraId="14A113C5"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3</w:t>
                  </w:r>
                </w:p>
              </w:tc>
              <w:tc>
                <w:tcPr>
                  <w:tcW w:w="1560" w:type="dxa"/>
                  <w:tcBorders>
                    <w:top w:val="nil"/>
                    <w:left w:val="nil"/>
                    <w:bottom w:val="single" w:sz="4" w:space="0" w:color="auto"/>
                    <w:right w:val="single" w:sz="4" w:space="0" w:color="auto"/>
                  </w:tcBorders>
                  <w:noWrap/>
                  <w:vAlign w:val="center"/>
                  <w:hideMark/>
                </w:tcPr>
                <w:p w14:paraId="02803759"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75%</w:t>
                  </w:r>
                </w:p>
              </w:tc>
            </w:tr>
            <w:tr w:rsidR="00250EB5" w14:paraId="4B9899A7"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7AD57882"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Odontología</w:t>
                  </w:r>
                </w:p>
              </w:tc>
              <w:tc>
                <w:tcPr>
                  <w:tcW w:w="1303" w:type="dxa"/>
                  <w:tcBorders>
                    <w:top w:val="nil"/>
                    <w:left w:val="nil"/>
                    <w:bottom w:val="single" w:sz="4" w:space="0" w:color="auto"/>
                    <w:right w:val="single" w:sz="4" w:space="0" w:color="auto"/>
                  </w:tcBorders>
                  <w:noWrap/>
                  <w:vAlign w:val="center"/>
                  <w:hideMark/>
                </w:tcPr>
                <w:p w14:paraId="6A7CF9DE"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3</w:t>
                  </w:r>
                </w:p>
              </w:tc>
              <w:tc>
                <w:tcPr>
                  <w:tcW w:w="1559" w:type="dxa"/>
                  <w:tcBorders>
                    <w:top w:val="nil"/>
                    <w:left w:val="nil"/>
                    <w:bottom w:val="single" w:sz="4" w:space="0" w:color="auto"/>
                    <w:right w:val="single" w:sz="4" w:space="0" w:color="auto"/>
                  </w:tcBorders>
                  <w:noWrap/>
                  <w:vAlign w:val="center"/>
                  <w:hideMark/>
                </w:tcPr>
                <w:p w14:paraId="578AA4DF"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2</w:t>
                  </w:r>
                </w:p>
              </w:tc>
              <w:tc>
                <w:tcPr>
                  <w:tcW w:w="1560" w:type="dxa"/>
                  <w:tcBorders>
                    <w:top w:val="nil"/>
                    <w:left w:val="nil"/>
                    <w:bottom w:val="single" w:sz="4" w:space="0" w:color="auto"/>
                    <w:right w:val="single" w:sz="4" w:space="0" w:color="auto"/>
                  </w:tcBorders>
                  <w:noWrap/>
                  <w:vAlign w:val="center"/>
                  <w:hideMark/>
                </w:tcPr>
                <w:p w14:paraId="7CE3D613" w14:textId="3D1BF6ED" w:rsidR="00250EB5" w:rsidRDefault="008531E7" w:rsidP="00250EB5">
                  <w:pPr>
                    <w:jc w:val="center"/>
                    <w:rPr>
                      <w:rFonts w:ascii="Calibri" w:hAnsi="Calibri" w:cs="Calibri"/>
                      <w:b/>
                      <w:bCs/>
                      <w:color w:val="000000"/>
                      <w:sz w:val="20"/>
                      <w:szCs w:val="20"/>
                    </w:rPr>
                  </w:pPr>
                  <w:r>
                    <w:rPr>
                      <w:rFonts w:ascii="Calibri" w:hAnsi="Calibri" w:cs="Calibri"/>
                      <w:b/>
                      <w:bCs/>
                      <w:color w:val="000000"/>
                      <w:sz w:val="20"/>
                      <w:szCs w:val="20"/>
                    </w:rPr>
                    <w:t>67</w:t>
                  </w:r>
                  <w:r w:rsidR="00250EB5">
                    <w:rPr>
                      <w:rFonts w:ascii="Calibri" w:hAnsi="Calibri" w:cs="Calibri"/>
                      <w:b/>
                      <w:bCs/>
                      <w:color w:val="000000"/>
                      <w:sz w:val="20"/>
                      <w:szCs w:val="20"/>
                    </w:rPr>
                    <w:t>%</w:t>
                  </w:r>
                </w:p>
              </w:tc>
            </w:tr>
            <w:tr w:rsidR="00250EB5" w14:paraId="1C276731" w14:textId="77777777" w:rsidTr="00250EB5">
              <w:trPr>
                <w:trHeight w:val="288"/>
              </w:trPr>
              <w:tc>
                <w:tcPr>
                  <w:tcW w:w="3160" w:type="dxa"/>
                  <w:tcBorders>
                    <w:top w:val="nil"/>
                    <w:left w:val="single" w:sz="4" w:space="0" w:color="auto"/>
                    <w:bottom w:val="single" w:sz="4" w:space="0" w:color="auto"/>
                    <w:right w:val="single" w:sz="4" w:space="0" w:color="auto"/>
                  </w:tcBorders>
                  <w:vAlign w:val="bottom"/>
                  <w:hideMark/>
                </w:tcPr>
                <w:p w14:paraId="384B7429" w14:textId="22BBB2E1"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Planes, Programas y Proyectos</w:t>
                  </w:r>
                </w:p>
              </w:tc>
              <w:tc>
                <w:tcPr>
                  <w:tcW w:w="1303" w:type="dxa"/>
                  <w:tcBorders>
                    <w:top w:val="nil"/>
                    <w:left w:val="nil"/>
                    <w:bottom w:val="single" w:sz="4" w:space="0" w:color="auto"/>
                    <w:right w:val="single" w:sz="4" w:space="0" w:color="auto"/>
                  </w:tcBorders>
                  <w:noWrap/>
                  <w:vAlign w:val="center"/>
                  <w:hideMark/>
                </w:tcPr>
                <w:p w14:paraId="41B4103A"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7</w:t>
                  </w:r>
                </w:p>
              </w:tc>
              <w:tc>
                <w:tcPr>
                  <w:tcW w:w="1559" w:type="dxa"/>
                  <w:tcBorders>
                    <w:top w:val="nil"/>
                    <w:left w:val="nil"/>
                    <w:bottom w:val="single" w:sz="4" w:space="0" w:color="auto"/>
                    <w:right w:val="single" w:sz="4" w:space="0" w:color="auto"/>
                  </w:tcBorders>
                  <w:noWrap/>
                  <w:vAlign w:val="center"/>
                  <w:hideMark/>
                </w:tcPr>
                <w:p w14:paraId="33DF57EA"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7</w:t>
                  </w:r>
                </w:p>
              </w:tc>
              <w:tc>
                <w:tcPr>
                  <w:tcW w:w="1560" w:type="dxa"/>
                  <w:tcBorders>
                    <w:top w:val="nil"/>
                    <w:left w:val="nil"/>
                    <w:bottom w:val="single" w:sz="4" w:space="0" w:color="auto"/>
                    <w:right w:val="single" w:sz="4" w:space="0" w:color="auto"/>
                  </w:tcBorders>
                  <w:noWrap/>
                  <w:vAlign w:val="center"/>
                  <w:hideMark/>
                </w:tcPr>
                <w:p w14:paraId="1A3C737E"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13634457"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2EAE820B"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Recursos Humanos</w:t>
                  </w:r>
                </w:p>
              </w:tc>
              <w:tc>
                <w:tcPr>
                  <w:tcW w:w="1303" w:type="dxa"/>
                  <w:tcBorders>
                    <w:top w:val="nil"/>
                    <w:left w:val="nil"/>
                    <w:bottom w:val="single" w:sz="4" w:space="0" w:color="auto"/>
                    <w:right w:val="single" w:sz="4" w:space="0" w:color="auto"/>
                  </w:tcBorders>
                  <w:noWrap/>
                  <w:vAlign w:val="center"/>
                  <w:hideMark/>
                </w:tcPr>
                <w:p w14:paraId="77BF9F28"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11</w:t>
                  </w:r>
                </w:p>
              </w:tc>
              <w:tc>
                <w:tcPr>
                  <w:tcW w:w="1559" w:type="dxa"/>
                  <w:tcBorders>
                    <w:top w:val="nil"/>
                    <w:left w:val="nil"/>
                    <w:bottom w:val="single" w:sz="4" w:space="0" w:color="auto"/>
                    <w:right w:val="single" w:sz="4" w:space="0" w:color="auto"/>
                  </w:tcBorders>
                  <w:noWrap/>
                  <w:vAlign w:val="center"/>
                  <w:hideMark/>
                </w:tcPr>
                <w:p w14:paraId="0D49C675"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11</w:t>
                  </w:r>
                </w:p>
              </w:tc>
              <w:tc>
                <w:tcPr>
                  <w:tcW w:w="1560" w:type="dxa"/>
                  <w:tcBorders>
                    <w:top w:val="nil"/>
                    <w:left w:val="nil"/>
                    <w:bottom w:val="single" w:sz="4" w:space="0" w:color="auto"/>
                    <w:right w:val="single" w:sz="4" w:space="0" w:color="auto"/>
                  </w:tcBorders>
                  <w:noWrap/>
                  <w:vAlign w:val="center"/>
                  <w:hideMark/>
                </w:tcPr>
                <w:p w14:paraId="624F32F8"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1CCB244B"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624174D3"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Tecnología</w:t>
                  </w:r>
                </w:p>
              </w:tc>
              <w:tc>
                <w:tcPr>
                  <w:tcW w:w="1303" w:type="dxa"/>
                  <w:tcBorders>
                    <w:top w:val="nil"/>
                    <w:left w:val="nil"/>
                    <w:bottom w:val="single" w:sz="4" w:space="0" w:color="auto"/>
                    <w:right w:val="single" w:sz="4" w:space="0" w:color="auto"/>
                  </w:tcBorders>
                  <w:noWrap/>
                  <w:vAlign w:val="center"/>
                  <w:hideMark/>
                </w:tcPr>
                <w:p w14:paraId="042BBDD7"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3</w:t>
                  </w:r>
                </w:p>
              </w:tc>
              <w:tc>
                <w:tcPr>
                  <w:tcW w:w="1559" w:type="dxa"/>
                  <w:tcBorders>
                    <w:top w:val="nil"/>
                    <w:left w:val="nil"/>
                    <w:bottom w:val="single" w:sz="4" w:space="0" w:color="auto"/>
                    <w:right w:val="single" w:sz="4" w:space="0" w:color="auto"/>
                  </w:tcBorders>
                  <w:noWrap/>
                  <w:vAlign w:val="center"/>
                  <w:hideMark/>
                </w:tcPr>
                <w:p w14:paraId="1D1E85E6"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3</w:t>
                  </w:r>
                </w:p>
              </w:tc>
              <w:tc>
                <w:tcPr>
                  <w:tcW w:w="1560" w:type="dxa"/>
                  <w:tcBorders>
                    <w:top w:val="nil"/>
                    <w:left w:val="nil"/>
                    <w:bottom w:val="single" w:sz="4" w:space="0" w:color="auto"/>
                    <w:right w:val="single" w:sz="4" w:space="0" w:color="auto"/>
                  </w:tcBorders>
                  <w:noWrap/>
                  <w:vAlign w:val="center"/>
                  <w:hideMark/>
                </w:tcPr>
                <w:p w14:paraId="37038326"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r w:rsidR="00250EB5" w14:paraId="5CD1B371" w14:textId="77777777" w:rsidTr="00250EB5">
              <w:trPr>
                <w:trHeight w:val="288"/>
              </w:trPr>
              <w:tc>
                <w:tcPr>
                  <w:tcW w:w="3160" w:type="dxa"/>
                  <w:tcBorders>
                    <w:top w:val="nil"/>
                    <w:left w:val="single" w:sz="4" w:space="0" w:color="auto"/>
                    <w:bottom w:val="single" w:sz="4" w:space="0" w:color="auto"/>
                    <w:right w:val="single" w:sz="4" w:space="0" w:color="auto"/>
                  </w:tcBorders>
                  <w:noWrap/>
                  <w:vAlign w:val="bottom"/>
                  <w:hideMark/>
                </w:tcPr>
                <w:p w14:paraId="383C22C5" w14:textId="77777777" w:rsidR="00250EB5" w:rsidRPr="00250EB5" w:rsidRDefault="00250EB5" w:rsidP="00250EB5">
                  <w:pPr>
                    <w:rPr>
                      <w:rFonts w:ascii="Calibri" w:hAnsi="Calibri" w:cs="Calibri"/>
                      <w:b/>
                      <w:bCs/>
                      <w:color w:val="000000"/>
                      <w:sz w:val="20"/>
                      <w:szCs w:val="20"/>
                    </w:rPr>
                  </w:pPr>
                  <w:r w:rsidRPr="00250EB5">
                    <w:rPr>
                      <w:rFonts w:ascii="Calibri" w:hAnsi="Calibri" w:cs="Calibri"/>
                      <w:b/>
                      <w:bCs/>
                      <w:color w:val="000000"/>
                      <w:sz w:val="20"/>
                      <w:szCs w:val="20"/>
                    </w:rPr>
                    <w:t>Urgencias</w:t>
                  </w:r>
                </w:p>
              </w:tc>
              <w:tc>
                <w:tcPr>
                  <w:tcW w:w="1303" w:type="dxa"/>
                  <w:tcBorders>
                    <w:top w:val="nil"/>
                    <w:left w:val="nil"/>
                    <w:bottom w:val="single" w:sz="4" w:space="0" w:color="auto"/>
                    <w:right w:val="single" w:sz="4" w:space="0" w:color="auto"/>
                  </w:tcBorders>
                  <w:noWrap/>
                  <w:vAlign w:val="center"/>
                  <w:hideMark/>
                </w:tcPr>
                <w:p w14:paraId="760EAB04"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6</w:t>
                  </w:r>
                </w:p>
              </w:tc>
              <w:tc>
                <w:tcPr>
                  <w:tcW w:w="1559" w:type="dxa"/>
                  <w:tcBorders>
                    <w:top w:val="nil"/>
                    <w:left w:val="nil"/>
                    <w:bottom w:val="single" w:sz="4" w:space="0" w:color="auto"/>
                    <w:right w:val="single" w:sz="4" w:space="0" w:color="auto"/>
                  </w:tcBorders>
                  <w:noWrap/>
                  <w:vAlign w:val="center"/>
                  <w:hideMark/>
                </w:tcPr>
                <w:p w14:paraId="2BC3B549" w14:textId="77777777" w:rsidR="00250EB5" w:rsidRDefault="00250EB5" w:rsidP="00250EB5">
                  <w:pPr>
                    <w:jc w:val="center"/>
                    <w:rPr>
                      <w:rFonts w:ascii="Calibri" w:hAnsi="Calibri" w:cs="Calibri"/>
                      <w:color w:val="000000"/>
                      <w:sz w:val="20"/>
                      <w:szCs w:val="20"/>
                    </w:rPr>
                  </w:pPr>
                  <w:r>
                    <w:rPr>
                      <w:rFonts w:ascii="Calibri" w:hAnsi="Calibri" w:cs="Calibri"/>
                      <w:color w:val="000000"/>
                      <w:sz w:val="20"/>
                      <w:szCs w:val="20"/>
                    </w:rPr>
                    <w:t>6</w:t>
                  </w:r>
                </w:p>
              </w:tc>
              <w:tc>
                <w:tcPr>
                  <w:tcW w:w="1560" w:type="dxa"/>
                  <w:tcBorders>
                    <w:top w:val="nil"/>
                    <w:left w:val="nil"/>
                    <w:bottom w:val="single" w:sz="4" w:space="0" w:color="auto"/>
                    <w:right w:val="single" w:sz="4" w:space="0" w:color="auto"/>
                  </w:tcBorders>
                  <w:noWrap/>
                  <w:vAlign w:val="center"/>
                  <w:hideMark/>
                </w:tcPr>
                <w:p w14:paraId="0E0E7CAD" w14:textId="77777777" w:rsidR="00250EB5" w:rsidRDefault="00250EB5" w:rsidP="00250EB5">
                  <w:pPr>
                    <w:jc w:val="center"/>
                    <w:rPr>
                      <w:rFonts w:ascii="Calibri" w:hAnsi="Calibri" w:cs="Calibri"/>
                      <w:b/>
                      <w:bCs/>
                      <w:color w:val="000000"/>
                      <w:sz w:val="20"/>
                      <w:szCs w:val="20"/>
                    </w:rPr>
                  </w:pPr>
                  <w:r>
                    <w:rPr>
                      <w:rFonts w:ascii="Calibri" w:hAnsi="Calibri" w:cs="Calibri"/>
                      <w:b/>
                      <w:bCs/>
                      <w:color w:val="000000"/>
                      <w:sz w:val="20"/>
                      <w:szCs w:val="20"/>
                    </w:rPr>
                    <w:t>100%</w:t>
                  </w:r>
                </w:p>
              </w:tc>
            </w:tr>
          </w:tbl>
          <w:p w14:paraId="5A02BD1A" w14:textId="348EB1E2" w:rsidR="00942319" w:rsidRPr="002A1862" w:rsidRDefault="002A1862" w:rsidP="00250EB5">
            <w:pPr>
              <w:pStyle w:val="x12ofw9d"/>
              <w:shd w:val="clear" w:color="auto" w:fill="FCFCFC"/>
              <w:jc w:val="both"/>
              <w:rPr>
                <w:sz w:val="16"/>
                <w:szCs w:val="16"/>
                <w:lang w:val="es-MX"/>
              </w:rPr>
            </w:pPr>
            <w:r w:rsidRPr="002A1862">
              <w:rPr>
                <w:color w:val="0D0D0D"/>
              </w:rPr>
              <w:t xml:space="preserve">La mayor concentración de actividades pendientes corresponde a Finanzas, por lo que resulta prioritario dar seguimiento a los compromisos de esta área </w:t>
            </w:r>
            <w:r w:rsidR="00250EB5">
              <w:rPr>
                <w:color w:val="0D0D0D"/>
              </w:rPr>
              <w:t>.</w:t>
            </w:r>
          </w:p>
        </w:tc>
      </w:tr>
      <w:permEnd w:id="362576998"/>
      <w:tr w:rsidR="00F832A6" w:rsidRPr="00CF7536" w14:paraId="733F7720" w14:textId="77777777" w:rsidTr="003503C8">
        <w:trPr>
          <w:trHeight w:val="225"/>
        </w:trPr>
        <w:tc>
          <w:tcPr>
            <w:tcW w:w="10916" w:type="dxa"/>
            <w:tcBorders>
              <w:top w:val="single" w:sz="4" w:space="0" w:color="auto"/>
              <w:left w:val="nil"/>
              <w:bottom w:val="nil"/>
              <w:right w:val="nil"/>
            </w:tcBorders>
            <w:vAlign w:val="center"/>
          </w:tcPr>
          <w:p w14:paraId="64CA0B19" w14:textId="77777777" w:rsidR="00F832A6" w:rsidRDefault="00F832A6" w:rsidP="00002D0A">
            <w:pPr>
              <w:spacing w:line="168" w:lineRule="auto"/>
              <w:jc w:val="both"/>
              <w:rPr>
                <w:rFonts w:ascii="Rockwell" w:hAnsi="Rockwell" w:cs="Open Sans"/>
                <w:sz w:val="16"/>
                <w:szCs w:val="16"/>
              </w:rPr>
            </w:pPr>
          </w:p>
          <w:p w14:paraId="2375A4C9" w14:textId="77777777" w:rsidR="00F832A6" w:rsidRPr="00CF7536" w:rsidRDefault="00F832A6" w:rsidP="00002D0A">
            <w:pPr>
              <w:spacing w:line="168" w:lineRule="auto"/>
              <w:jc w:val="both"/>
              <w:rPr>
                <w:rFonts w:ascii="Rockwell" w:hAnsi="Rockwell" w:cs="Open Sans"/>
                <w:sz w:val="16"/>
                <w:szCs w:val="16"/>
              </w:rPr>
            </w:pPr>
          </w:p>
        </w:tc>
      </w:tr>
      <w:tr w:rsidR="00AE4C59" w:rsidRPr="00CF7536" w14:paraId="5CCE478B" w14:textId="77777777" w:rsidTr="003503C8">
        <w:trPr>
          <w:cantSplit/>
          <w:trHeight w:val="376"/>
        </w:trPr>
        <w:tc>
          <w:tcPr>
            <w:tcW w:w="10916" w:type="dxa"/>
            <w:tcBorders>
              <w:top w:val="nil"/>
              <w:bottom w:val="single" w:sz="4" w:space="0" w:color="auto"/>
              <w:right w:val="nil"/>
            </w:tcBorders>
            <w:shd w:val="clear" w:color="auto" w:fill="0C5277"/>
            <w:vAlign w:val="center"/>
          </w:tcPr>
          <w:p w14:paraId="707A11E2" w14:textId="69FD3E65" w:rsidR="00AE4C59" w:rsidRPr="00CF7536" w:rsidRDefault="007224D1" w:rsidP="00002D0A">
            <w:pPr>
              <w:jc w:val="both"/>
              <w:rPr>
                <w:rFonts w:ascii="Rockwell" w:hAnsi="Rockwell"/>
                <w:b/>
              </w:rPr>
            </w:pPr>
            <w:r>
              <w:rPr>
                <w:rFonts w:ascii="Rockwell" w:hAnsi="Rockwell"/>
                <w:b/>
                <w:color w:val="FFFFFF" w:themeColor="background1"/>
              </w:rPr>
              <w:t>RECOMENDACIONES</w:t>
            </w:r>
            <w:r w:rsidR="009D33A4">
              <w:rPr>
                <w:rFonts w:ascii="Rockwell" w:hAnsi="Rockwell"/>
                <w:b/>
                <w:color w:val="FFFFFF" w:themeColor="background1"/>
              </w:rPr>
              <w:t xml:space="preserve"> </w:t>
            </w:r>
          </w:p>
        </w:tc>
      </w:tr>
      <w:tr w:rsidR="00AE4C59" w:rsidRPr="00CF7536" w14:paraId="1A3D8764" w14:textId="77777777" w:rsidTr="003503C8">
        <w:trPr>
          <w:trHeight w:val="530"/>
        </w:trPr>
        <w:tc>
          <w:tcPr>
            <w:tcW w:w="10916" w:type="dxa"/>
            <w:tcBorders>
              <w:bottom w:val="single" w:sz="4" w:space="0" w:color="auto"/>
            </w:tcBorders>
          </w:tcPr>
          <w:p w14:paraId="2946DB82" w14:textId="61DE7F88" w:rsidR="00620492" w:rsidRPr="00CF7536" w:rsidRDefault="00AC60A4" w:rsidP="00F71CC0">
            <w:pPr>
              <w:spacing w:after="120" w:line="276" w:lineRule="auto"/>
              <w:jc w:val="both"/>
              <w:rPr>
                <w:rFonts w:ascii="Rockwell" w:hAnsi="Rockwell"/>
                <w:sz w:val="22"/>
                <w:szCs w:val="22"/>
              </w:rPr>
            </w:pPr>
            <w:permStart w:id="802750594" w:edGrp="everyone"/>
            <w:r>
              <w:t>Dar continuidad</w:t>
            </w:r>
            <w:r w:rsidR="00390EF9">
              <w:t xml:space="preserve"> con</w:t>
            </w:r>
            <w:r w:rsidR="001F3AC9">
              <w:t xml:space="preserve"> el </w:t>
            </w:r>
            <w:r w:rsidR="00E07B5F">
              <w:t>método</w:t>
            </w:r>
            <w:r w:rsidR="001F3AC9">
              <w:t xml:space="preserve"> de </w:t>
            </w:r>
            <w:r w:rsidR="00E07B5F">
              <w:t>seguimiento</w:t>
            </w:r>
            <w:r w:rsidR="001F3AC9">
              <w:t xml:space="preserve"> y monitoreo de las </w:t>
            </w:r>
            <w:r w:rsidR="002A1862">
              <w:t>ejecuciones del</w:t>
            </w:r>
            <w:r w:rsidR="001F3AC9">
              <w:t xml:space="preserve"> POA </w:t>
            </w:r>
            <w:r w:rsidR="00F71CC0">
              <w:t>202</w:t>
            </w:r>
            <w:r w:rsidR="00776D0B">
              <w:t>6</w:t>
            </w:r>
            <w:r w:rsidR="0098066E">
              <w:t xml:space="preserve"> </w:t>
            </w:r>
            <w:r>
              <w:t>mediante comunicaciones</w:t>
            </w:r>
            <w:r w:rsidR="0098066E">
              <w:t xml:space="preserve"> de correo, llamada y presencial</w:t>
            </w:r>
            <w:r>
              <w:t xml:space="preserve"> a fin de verificar el cumplimiento de las actividades y promover la entrega oportuna de las evidencias correspondientes</w:t>
            </w:r>
            <w:r w:rsidR="0098066E">
              <w:t>.</w:t>
            </w:r>
          </w:p>
        </w:tc>
      </w:tr>
      <w:permEnd w:id="802750594"/>
      <w:tr w:rsidR="003503C8" w:rsidRPr="00CF7536" w14:paraId="54850FC6" w14:textId="77777777" w:rsidTr="003503C8">
        <w:trPr>
          <w:trHeight w:val="198"/>
        </w:trPr>
        <w:tc>
          <w:tcPr>
            <w:tcW w:w="10916" w:type="dxa"/>
            <w:tcBorders>
              <w:top w:val="single" w:sz="4" w:space="0" w:color="auto"/>
              <w:left w:val="nil"/>
              <w:bottom w:val="nil"/>
              <w:right w:val="nil"/>
            </w:tcBorders>
          </w:tcPr>
          <w:p w14:paraId="66AEA1E1" w14:textId="77777777" w:rsidR="003503C8" w:rsidRPr="00CF7536" w:rsidRDefault="003503C8" w:rsidP="00002D0A">
            <w:pPr>
              <w:spacing w:line="168" w:lineRule="auto"/>
              <w:jc w:val="both"/>
              <w:rPr>
                <w:rFonts w:ascii="Rockwell" w:hAnsi="Rockwell"/>
                <w:sz w:val="22"/>
                <w:szCs w:val="22"/>
              </w:rPr>
            </w:pPr>
          </w:p>
        </w:tc>
      </w:tr>
      <w:tr w:rsidR="003503C8" w:rsidRPr="00CF7536" w14:paraId="360A5773" w14:textId="77777777" w:rsidTr="003503C8">
        <w:trPr>
          <w:trHeight w:val="372"/>
        </w:trPr>
        <w:tc>
          <w:tcPr>
            <w:tcW w:w="10916" w:type="dxa"/>
            <w:tcBorders>
              <w:top w:val="nil"/>
              <w:bottom w:val="single" w:sz="4" w:space="0" w:color="auto"/>
            </w:tcBorders>
            <w:shd w:val="clear" w:color="auto" w:fill="0C5277"/>
          </w:tcPr>
          <w:p w14:paraId="1FB67745" w14:textId="34192FF4" w:rsidR="003503C8" w:rsidRPr="003503C8" w:rsidRDefault="003503C8" w:rsidP="00002D0A">
            <w:pPr>
              <w:tabs>
                <w:tab w:val="left" w:pos="4140"/>
              </w:tabs>
              <w:jc w:val="both"/>
              <w:rPr>
                <w:rFonts w:ascii="Rockwell" w:hAnsi="Rockwell"/>
                <w:b/>
                <w:color w:val="FFFFFF" w:themeColor="background1"/>
              </w:rPr>
            </w:pPr>
            <w:r>
              <w:rPr>
                <w:rFonts w:ascii="Rockwell" w:hAnsi="Rockwell"/>
                <w:b/>
                <w:color w:val="FFFFFF" w:themeColor="background1"/>
              </w:rPr>
              <w:t>A</w:t>
            </w:r>
            <w:r w:rsidR="0048467B">
              <w:rPr>
                <w:rFonts w:ascii="Rockwell" w:hAnsi="Rockwell"/>
                <w:b/>
                <w:color w:val="FFFFFF" w:themeColor="background1"/>
              </w:rPr>
              <w:t>NEXOS</w:t>
            </w:r>
            <w:r>
              <w:rPr>
                <w:rFonts w:ascii="Rockwell" w:hAnsi="Rockwell"/>
                <w:b/>
                <w:color w:val="FFFFFF" w:themeColor="background1"/>
              </w:rPr>
              <w:t xml:space="preserve"> (</w:t>
            </w:r>
            <w:r w:rsidRPr="00D27E5C">
              <w:rPr>
                <w:rFonts w:ascii="Rockwell" w:hAnsi="Rockwell"/>
                <w:b/>
                <w:color w:val="FFFFFF" w:themeColor="background1"/>
                <w:sz w:val="18"/>
                <w:szCs w:val="18"/>
              </w:rPr>
              <w:t>Si aplica</w:t>
            </w:r>
            <w:r>
              <w:rPr>
                <w:rFonts w:ascii="Rockwell" w:hAnsi="Rockwell"/>
                <w:b/>
                <w:color w:val="FFFFFF" w:themeColor="background1"/>
              </w:rPr>
              <w:t>)</w:t>
            </w:r>
          </w:p>
        </w:tc>
      </w:tr>
      <w:tr w:rsidR="003503C8" w:rsidRPr="00CF7536" w14:paraId="7CE7CF5E" w14:textId="77777777" w:rsidTr="007224D1">
        <w:trPr>
          <w:trHeight w:val="530"/>
        </w:trPr>
        <w:tc>
          <w:tcPr>
            <w:tcW w:w="10916" w:type="dxa"/>
            <w:tcBorders>
              <w:bottom w:val="single" w:sz="4" w:space="0" w:color="auto"/>
            </w:tcBorders>
          </w:tcPr>
          <w:p w14:paraId="5F88906D" w14:textId="6A873F69" w:rsidR="00BB6F4A" w:rsidRDefault="00BB6F4A" w:rsidP="00B6766E">
            <w:pPr>
              <w:pStyle w:val="Sinespaciado"/>
            </w:pPr>
            <w:permStart w:id="1879511266" w:edGrp="everyone"/>
            <w:r>
              <w:t>Matriz de autoevaluación</w:t>
            </w:r>
            <w:r w:rsidR="00741BDB">
              <w:t xml:space="preserve"> de </w:t>
            </w:r>
            <w:r>
              <w:t>POA 202</w:t>
            </w:r>
            <w:r w:rsidR="00776D0B">
              <w:t>6</w:t>
            </w:r>
            <w:r w:rsidR="0012296F">
              <w:t xml:space="preserve">, </w:t>
            </w:r>
            <w:r>
              <w:t xml:space="preserve">y </w:t>
            </w:r>
          </w:p>
          <w:p w14:paraId="296652D8" w14:textId="15198A87" w:rsidR="00132190" w:rsidRDefault="00BB6F4A" w:rsidP="00B6766E">
            <w:pPr>
              <w:pStyle w:val="Sinespaciado"/>
            </w:pPr>
            <w:r>
              <w:t xml:space="preserve">Matriz de Reprogramación </w:t>
            </w:r>
          </w:p>
          <w:p w14:paraId="0E26ADD7" w14:textId="29C356D5" w:rsidR="00620492" w:rsidRPr="00CF7536" w:rsidRDefault="00620492" w:rsidP="00002D0A">
            <w:pPr>
              <w:spacing w:after="120" w:line="276" w:lineRule="auto"/>
              <w:jc w:val="both"/>
              <w:rPr>
                <w:rFonts w:ascii="Rockwell" w:hAnsi="Rockwell"/>
                <w:sz w:val="22"/>
                <w:szCs w:val="22"/>
              </w:rPr>
            </w:pPr>
          </w:p>
        </w:tc>
      </w:tr>
    </w:tbl>
    <w:permEnd w:id="1879511266"/>
    <w:p w14:paraId="63F01002" w14:textId="734FF8A8" w:rsidR="00DF50A8" w:rsidRPr="00DF50A8" w:rsidRDefault="00DF50A8" w:rsidP="00002D0A">
      <w:pPr>
        <w:tabs>
          <w:tab w:val="left" w:pos="6290"/>
        </w:tabs>
        <w:ind w:left="-993"/>
        <w:jc w:val="both"/>
        <w:rPr>
          <w:rFonts w:ascii="Rockwell" w:hAnsi="Rockwell"/>
          <w:b/>
          <w:bCs/>
          <w:sz w:val="18"/>
          <w:szCs w:val="18"/>
          <w:u w:val="single"/>
        </w:rPr>
      </w:pPr>
      <w:r w:rsidRPr="00DF50A8">
        <w:rPr>
          <w:rFonts w:ascii="Rockwell" w:hAnsi="Rockwell"/>
          <w:b/>
          <w:bCs/>
          <w:sz w:val="18"/>
          <w:szCs w:val="18"/>
          <w:u w:val="single"/>
        </w:rPr>
        <w:t>Instrucciones de llenado:</w:t>
      </w:r>
    </w:p>
    <w:p w14:paraId="12C46FC5" w14:textId="245BD93E" w:rsidR="00D61444" w:rsidRDefault="00DF50A8" w:rsidP="00002D0A">
      <w:pPr>
        <w:tabs>
          <w:tab w:val="left" w:pos="6290"/>
        </w:tabs>
        <w:ind w:hanging="993"/>
        <w:jc w:val="both"/>
        <w:rPr>
          <w:rFonts w:ascii="Rockwell" w:hAnsi="Rockwell"/>
          <w:sz w:val="18"/>
          <w:szCs w:val="18"/>
        </w:rPr>
      </w:pPr>
      <w:r w:rsidRPr="00DF50A8">
        <w:rPr>
          <w:rFonts w:ascii="Rockwell" w:hAnsi="Rockwell"/>
          <w:b/>
          <w:bCs/>
          <w:sz w:val="18"/>
          <w:szCs w:val="18"/>
        </w:rPr>
        <w:t>*</w:t>
      </w:r>
      <w:r w:rsidR="00062B5A" w:rsidRPr="00DF50A8">
        <w:rPr>
          <w:rFonts w:ascii="Rockwell" w:hAnsi="Rockwell"/>
          <w:b/>
          <w:bCs/>
          <w:sz w:val="18"/>
          <w:szCs w:val="18"/>
        </w:rPr>
        <w:t xml:space="preserve">Indique </w:t>
      </w:r>
      <w:r w:rsidR="00B23177" w:rsidRPr="00B23177">
        <w:rPr>
          <w:rFonts w:ascii="Rockwell" w:hAnsi="Rockwell"/>
          <w:b/>
          <w:bCs/>
          <w:sz w:val="18"/>
          <w:szCs w:val="18"/>
        </w:rPr>
        <w:t>nombre del lugar</w:t>
      </w:r>
      <w:r w:rsidRPr="00DF50A8">
        <w:rPr>
          <w:rFonts w:ascii="Rockwell" w:hAnsi="Rockwell"/>
          <w:sz w:val="18"/>
          <w:szCs w:val="18"/>
        </w:rPr>
        <w:t xml:space="preserve">: </w:t>
      </w:r>
      <w:bookmarkStart w:id="0" w:name="_Hlk127788205"/>
      <w:r w:rsidRPr="00DF50A8">
        <w:rPr>
          <w:rFonts w:ascii="Rockwell" w:hAnsi="Rockwell"/>
          <w:sz w:val="18"/>
          <w:szCs w:val="18"/>
        </w:rPr>
        <w:t>Este campo s</w:t>
      </w:r>
      <w:r w:rsidR="00A9216A">
        <w:rPr>
          <w:rFonts w:ascii="Rockwell" w:hAnsi="Rockwell" w:hint="cs"/>
          <w:sz w:val="18"/>
          <w:szCs w:val="18"/>
          <w:rtl/>
        </w:rPr>
        <w:t>ó</w:t>
      </w:r>
      <w:r w:rsidRPr="00DF50A8">
        <w:rPr>
          <w:rFonts w:ascii="Rockwell" w:hAnsi="Rockwell"/>
          <w:sz w:val="18"/>
          <w:szCs w:val="18"/>
        </w:rPr>
        <w:t>lo aplica para SRS, Hospital y CPN.</w:t>
      </w:r>
      <w:bookmarkEnd w:id="0"/>
    </w:p>
    <w:p w14:paraId="66A9B08D" w14:textId="77777777" w:rsidR="003503C8" w:rsidRDefault="003503C8" w:rsidP="00002D0A">
      <w:pPr>
        <w:tabs>
          <w:tab w:val="left" w:pos="6290"/>
        </w:tabs>
        <w:ind w:hanging="993"/>
        <w:jc w:val="both"/>
        <w:rPr>
          <w:rFonts w:ascii="Rockwell" w:hAnsi="Rockwell"/>
        </w:rPr>
      </w:pPr>
    </w:p>
    <w:tbl>
      <w:tblPr>
        <w:tblStyle w:val="Tablaconcuadrcula"/>
        <w:tblpPr w:leftFromText="141" w:rightFromText="141" w:vertAnchor="text" w:tblpX="2547" w:tblpY="130"/>
        <w:tblW w:w="0" w:type="auto"/>
        <w:tblLook w:val="04A0" w:firstRow="1" w:lastRow="0" w:firstColumn="1" w:lastColumn="0" w:noHBand="0" w:noVBand="1"/>
      </w:tblPr>
      <w:tblGrid>
        <w:gridCol w:w="3823"/>
      </w:tblGrid>
      <w:tr w:rsidR="00066B4E" w14:paraId="3F08CFFB" w14:textId="77777777" w:rsidTr="00066B4E">
        <w:trPr>
          <w:trHeight w:val="558"/>
        </w:trPr>
        <w:tc>
          <w:tcPr>
            <w:tcW w:w="3823" w:type="dxa"/>
          </w:tcPr>
          <w:p w14:paraId="576E56E7" w14:textId="2B7E4E9D" w:rsidR="00066B4E" w:rsidRPr="00EF316C" w:rsidRDefault="001F3AC9" w:rsidP="00002D0A">
            <w:pPr>
              <w:tabs>
                <w:tab w:val="left" w:pos="6290"/>
              </w:tabs>
              <w:jc w:val="both"/>
              <w:rPr>
                <w:rFonts w:ascii="Rockwell" w:hAnsi="Rockwell"/>
                <w:lang w:val="pt-BR"/>
              </w:rPr>
            </w:pPr>
            <w:permStart w:id="2121095163" w:edGrp="everyone" w:colFirst="0" w:colLast="0"/>
            <w:r>
              <w:t xml:space="preserve">                 Yanet Fortunato</w:t>
            </w:r>
          </w:p>
        </w:tc>
      </w:tr>
    </w:tbl>
    <w:p w14:paraId="51067F4C" w14:textId="77777777" w:rsidR="00D61444" w:rsidRPr="00CF7536" w:rsidRDefault="00D61444" w:rsidP="00002D0A">
      <w:pPr>
        <w:tabs>
          <w:tab w:val="left" w:pos="6290"/>
        </w:tabs>
        <w:jc w:val="both"/>
        <w:rPr>
          <w:rFonts w:ascii="Rockwell" w:hAnsi="Rockwell"/>
        </w:rPr>
      </w:pPr>
      <w:permStart w:id="470821610" w:edGrp="everyone"/>
      <w:permEnd w:id="2121095163"/>
      <w:permEnd w:id="470821610"/>
    </w:p>
    <w:tbl>
      <w:tblPr>
        <w:tblW w:w="10916" w:type="dxa"/>
        <w:tblInd w:w="-998" w:type="dxa"/>
        <w:tblLayout w:type="fixed"/>
        <w:tblLook w:val="01E0" w:firstRow="1" w:lastRow="1" w:firstColumn="1" w:lastColumn="1" w:noHBand="0" w:noVBand="0"/>
      </w:tblPr>
      <w:tblGrid>
        <w:gridCol w:w="3638"/>
        <w:gridCol w:w="3639"/>
        <w:gridCol w:w="3639"/>
      </w:tblGrid>
      <w:tr w:rsidR="00D61444" w:rsidRPr="00CF7536" w14:paraId="172122AC" w14:textId="77777777" w:rsidTr="00D61444">
        <w:trPr>
          <w:trHeight w:val="501"/>
        </w:trPr>
        <w:tc>
          <w:tcPr>
            <w:tcW w:w="3638" w:type="dxa"/>
            <w:vAlign w:val="center"/>
          </w:tcPr>
          <w:p w14:paraId="37B704C7" w14:textId="721B4A8E" w:rsidR="00D61444" w:rsidRPr="009D33A4" w:rsidRDefault="00D61444" w:rsidP="00002D0A">
            <w:pPr>
              <w:jc w:val="both"/>
              <w:rPr>
                <w:rFonts w:ascii="Rockwell" w:hAnsi="Rockwell"/>
              </w:rPr>
            </w:pPr>
          </w:p>
        </w:tc>
        <w:tc>
          <w:tcPr>
            <w:tcW w:w="3639" w:type="dxa"/>
            <w:tcBorders>
              <w:top w:val="single" w:sz="4" w:space="0" w:color="auto"/>
            </w:tcBorders>
            <w:vAlign w:val="center"/>
          </w:tcPr>
          <w:p w14:paraId="3995BDCB" w14:textId="48FCFE0F" w:rsidR="00D61444" w:rsidRDefault="00D61444" w:rsidP="00002D0A">
            <w:pPr>
              <w:jc w:val="center"/>
              <w:rPr>
                <w:rFonts w:ascii="Rockwell" w:hAnsi="Rockwell"/>
              </w:rPr>
            </w:pPr>
            <w:r w:rsidRPr="009D33A4">
              <w:rPr>
                <w:rFonts w:ascii="Rockwell" w:hAnsi="Rockwell"/>
              </w:rPr>
              <w:t>Elaborado por</w:t>
            </w:r>
          </w:p>
          <w:p w14:paraId="033F1486" w14:textId="79216E6C" w:rsidR="00D61444" w:rsidRPr="009D33A4" w:rsidRDefault="003503C8" w:rsidP="00002D0A">
            <w:pPr>
              <w:jc w:val="center"/>
              <w:rPr>
                <w:rFonts w:ascii="Rockwell" w:hAnsi="Rockwell"/>
              </w:rPr>
            </w:pPr>
            <w:r w:rsidRPr="003503C8">
              <w:rPr>
                <w:rFonts w:ascii="Rockwell" w:hAnsi="Rockwell"/>
                <w:sz w:val="18"/>
                <w:szCs w:val="18"/>
              </w:rPr>
              <w:t xml:space="preserve">(Nombre y </w:t>
            </w:r>
            <w:r w:rsidR="00224C16">
              <w:rPr>
                <w:rFonts w:ascii="Rockwell" w:hAnsi="Rockwell"/>
                <w:sz w:val="18"/>
                <w:szCs w:val="18"/>
              </w:rPr>
              <w:t>apellido</w:t>
            </w:r>
            <w:r w:rsidRPr="003503C8">
              <w:rPr>
                <w:rFonts w:ascii="Rockwell" w:hAnsi="Rockwell"/>
                <w:sz w:val="18"/>
                <w:szCs w:val="18"/>
              </w:rPr>
              <w:t>)</w:t>
            </w:r>
          </w:p>
        </w:tc>
        <w:tc>
          <w:tcPr>
            <w:tcW w:w="3639" w:type="dxa"/>
            <w:vAlign w:val="center"/>
          </w:tcPr>
          <w:p w14:paraId="50B3A72C" w14:textId="1152FCC0" w:rsidR="00D61444" w:rsidRPr="009D33A4" w:rsidRDefault="00D61444" w:rsidP="00002D0A">
            <w:pPr>
              <w:jc w:val="both"/>
              <w:rPr>
                <w:rFonts w:ascii="Rockwell" w:hAnsi="Rockwell"/>
              </w:rPr>
            </w:pPr>
          </w:p>
        </w:tc>
      </w:tr>
    </w:tbl>
    <w:p w14:paraId="23DE523C" w14:textId="77777777" w:rsidR="004B0874" w:rsidRPr="00CF7536" w:rsidRDefault="004B0874" w:rsidP="00002D0A">
      <w:pPr>
        <w:jc w:val="both"/>
        <w:rPr>
          <w:rFonts w:ascii="Rockwell" w:hAnsi="Rockwell"/>
        </w:rPr>
      </w:pPr>
    </w:p>
    <w:sectPr w:rsidR="004B0874" w:rsidRPr="00CF7536" w:rsidSect="0024087F">
      <w:headerReference w:type="default" r:id="rId11"/>
      <w:footerReference w:type="default" r:id="rId12"/>
      <w:pgSz w:w="12240" w:h="15840"/>
      <w:pgMar w:top="1417" w:right="1041" w:bottom="1417" w:left="1701"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C3206" w14:textId="77777777" w:rsidR="00E217BD" w:rsidRDefault="00E217BD" w:rsidP="00EF064A">
      <w:r>
        <w:separator/>
      </w:r>
    </w:p>
  </w:endnote>
  <w:endnote w:type="continuationSeparator" w:id="0">
    <w:p w14:paraId="4230A34E" w14:textId="77777777" w:rsidR="00E217BD" w:rsidRDefault="00E217BD" w:rsidP="00EF064A">
      <w:r>
        <w:continuationSeparator/>
      </w:r>
    </w:p>
  </w:endnote>
  <w:endnote w:type="continuationNotice" w:id="1">
    <w:p w14:paraId="162B9F93" w14:textId="77777777" w:rsidR="00E217BD" w:rsidRDefault="00E217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ockwell">
    <w:altName w:val="Sitka Small"/>
    <w:panose1 w:val="02060603020205020403"/>
    <w:charset w:val="00"/>
    <w:family w:val="roman"/>
    <w:pitch w:val="variable"/>
    <w:sig w:usb0="00000007" w:usb1="00000000" w:usb2="00000000" w:usb3="00000000" w:csb0="00000003" w:csb1="00000000"/>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114011329"/>
      <w:docPartObj>
        <w:docPartGallery w:val="Page Numbers (Bottom of Page)"/>
        <w:docPartUnique/>
      </w:docPartObj>
    </w:sdtPr>
    <w:sdtEndPr/>
    <w:sdtContent>
      <w:sdt>
        <w:sdtPr>
          <w:rPr>
            <w:rFonts w:asciiTheme="minorHAnsi" w:hAnsiTheme="minorHAnsi"/>
          </w:rPr>
          <w:id w:val="216747541"/>
          <w:docPartObj>
            <w:docPartGallery w:val="Page Numbers (Top of Page)"/>
            <w:docPartUnique/>
          </w:docPartObj>
        </w:sdtPr>
        <w:sdtEndPr/>
        <w:sdtContent>
          <w:p w14:paraId="2325BAD7" w14:textId="752CFA69" w:rsidR="004B0874" w:rsidRPr="004B0874" w:rsidRDefault="004B0874">
            <w:pPr>
              <w:pStyle w:val="Piedepgina"/>
              <w:jc w:val="center"/>
              <w:rPr>
                <w:rFonts w:asciiTheme="minorHAnsi" w:hAnsiTheme="minorHAnsi"/>
              </w:rPr>
            </w:pPr>
            <w:r w:rsidRPr="004B0874">
              <w:rPr>
                <w:rFonts w:asciiTheme="minorHAnsi" w:hAnsiTheme="minorHAnsi"/>
              </w:rPr>
              <w:t xml:space="preserve">Página </w:t>
            </w:r>
            <w:r w:rsidR="00935384" w:rsidRPr="004B0874">
              <w:rPr>
                <w:rFonts w:asciiTheme="minorHAnsi" w:hAnsiTheme="minorHAnsi"/>
                <w:b/>
              </w:rPr>
              <w:fldChar w:fldCharType="begin"/>
            </w:r>
            <w:r w:rsidRPr="004B0874">
              <w:rPr>
                <w:rFonts w:asciiTheme="minorHAnsi" w:hAnsiTheme="minorHAnsi"/>
                <w:b/>
              </w:rPr>
              <w:instrText>PAGE</w:instrText>
            </w:r>
            <w:r w:rsidR="00935384" w:rsidRPr="004B0874">
              <w:rPr>
                <w:rFonts w:asciiTheme="minorHAnsi" w:hAnsiTheme="minorHAnsi"/>
                <w:b/>
              </w:rPr>
              <w:fldChar w:fldCharType="separate"/>
            </w:r>
            <w:r w:rsidR="00216BA9">
              <w:rPr>
                <w:rFonts w:asciiTheme="minorHAnsi" w:hAnsiTheme="minorHAnsi"/>
                <w:b/>
                <w:noProof/>
              </w:rPr>
              <w:t>3</w:t>
            </w:r>
            <w:r w:rsidR="00935384" w:rsidRPr="004B0874">
              <w:rPr>
                <w:rFonts w:asciiTheme="minorHAnsi" w:hAnsiTheme="minorHAnsi"/>
                <w:b/>
              </w:rPr>
              <w:fldChar w:fldCharType="end"/>
            </w:r>
            <w:r w:rsidRPr="004B0874">
              <w:rPr>
                <w:rFonts w:asciiTheme="minorHAnsi" w:hAnsiTheme="minorHAnsi"/>
              </w:rPr>
              <w:t xml:space="preserve"> de </w:t>
            </w:r>
            <w:r w:rsidR="00935384" w:rsidRPr="004B0874">
              <w:rPr>
                <w:rFonts w:asciiTheme="minorHAnsi" w:hAnsiTheme="minorHAnsi"/>
                <w:b/>
              </w:rPr>
              <w:fldChar w:fldCharType="begin"/>
            </w:r>
            <w:r w:rsidRPr="004B0874">
              <w:rPr>
                <w:rFonts w:asciiTheme="minorHAnsi" w:hAnsiTheme="minorHAnsi"/>
                <w:b/>
              </w:rPr>
              <w:instrText>NUMPAGES</w:instrText>
            </w:r>
            <w:r w:rsidR="00935384" w:rsidRPr="004B0874">
              <w:rPr>
                <w:rFonts w:asciiTheme="minorHAnsi" w:hAnsiTheme="minorHAnsi"/>
                <w:b/>
              </w:rPr>
              <w:fldChar w:fldCharType="separate"/>
            </w:r>
            <w:r w:rsidR="00216BA9">
              <w:rPr>
                <w:rFonts w:asciiTheme="minorHAnsi" w:hAnsiTheme="minorHAnsi"/>
                <w:b/>
                <w:noProof/>
              </w:rPr>
              <w:t>3</w:t>
            </w:r>
            <w:r w:rsidR="00935384" w:rsidRPr="004B0874">
              <w:rPr>
                <w:rFonts w:asciiTheme="minorHAnsi" w:hAnsiTheme="minorHAnsi"/>
                <w:b/>
              </w:rPr>
              <w:fldChar w:fldCharType="end"/>
            </w:r>
          </w:p>
        </w:sdtContent>
      </w:sdt>
    </w:sdtContent>
  </w:sdt>
  <w:p w14:paraId="6537F28F" w14:textId="77777777" w:rsidR="004B0874" w:rsidRPr="004B0874" w:rsidRDefault="004B0874">
    <w:pPr>
      <w:pStyle w:val="Piedepgina"/>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A607B" w14:textId="77777777" w:rsidR="00E217BD" w:rsidRDefault="00E217BD" w:rsidP="00EF064A">
      <w:r>
        <w:separator/>
      </w:r>
    </w:p>
  </w:footnote>
  <w:footnote w:type="continuationSeparator" w:id="0">
    <w:p w14:paraId="7B9FCBA2" w14:textId="77777777" w:rsidR="00E217BD" w:rsidRDefault="00E217BD" w:rsidP="00EF064A">
      <w:r>
        <w:continuationSeparator/>
      </w:r>
    </w:p>
  </w:footnote>
  <w:footnote w:type="continuationNotice" w:id="1">
    <w:p w14:paraId="7CEF4A9F" w14:textId="77777777" w:rsidR="00E217BD" w:rsidRDefault="00E217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6423F" w14:textId="30ECA9B1" w:rsidR="00420AE1" w:rsidRPr="003A1601" w:rsidRDefault="00E25176" w:rsidP="00CF7536">
    <w:pPr>
      <w:pStyle w:val="Encabezado"/>
      <w:tabs>
        <w:tab w:val="left" w:pos="5387"/>
        <w:tab w:val="left" w:pos="8931"/>
      </w:tabs>
      <w:rPr>
        <w:rFonts w:ascii="Rockwell" w:hAnsi="Rockwell"/>
        <w:b/>
        <w:color w:val="545456"/>
        <w:sz w:val="22"/>
        <w:szCs w:val="22"/>
      </w:rPr>
    </w:pPr>
    <w:r>
      <w:rPr>
        <w:rFonts w:ascii="Rockwell" w:hAnsi="Rockwell" w:cs="Open Sans"/>
        <w:noProof/>
        <w:color w:val="244061" w:themeColor="accent1" w:themeShade="80"/>
        <w:lang w:val="es-DO" w:eastAsia="es-DO"/>
      </w:rPr>
      <w:drawing>
        <wp:anchor distT="0" distB="0" distL="114300" distR="114300" simplePos="0" relativeHeight="251658240" behindDoc="1" locked="0" layoutInCell="1" allowOverlap="1" wp14:anchorId="15E1EEE3" wp14:editId="1E9BED79">
          <wp:simplePos x="0" y="0"/>
          <wp:positionH relativeFrom="column">
            <wp:posOffset>-422910</wp:posOffset>
          </wp:positionH>
          <wp:positionV relativeFrom="paragraph">
            <wp:posOffset>-126365</wp:posOffset>
          </wp:positionV>
          <wp:extent cx="1600200" cy="533400"/>
          <wp:effectExtent l="0" t="0" r="0" b="0"/>
          <wp:wrapNone/>
          <wp:docPr id="1" name="Imagen 5" descr="transparente_versi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arente_version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33400"/>
                  </a:xfrm>
                  <a:prstGeom prst="rect">
                    <a:avLst/>
                  </a:prstGeom>
                  <a:noFill/>
                </pic:spPr>
              </pic:pic>
            </a:graphicData>
          </a:graphic>
          <wp14:sizeRelH relativeFrom="page">
            <wp14:pctWidth>0</wp14:pctWidth>
          </wp14:sizeRelH>
          <wp14:sizeRelV relativeFrom="page">
            <wp14:pctHeight>0</wp14:pctHeight>
          </wp14:sizeRelV>
        </wp:anchor>
      </w:drawing>
    </w:r>
    <w:r w:rsidR="00420AE1">
      <w:rPr>
        <w:rFonts w:ascii="Rockwell" w:hAnsi="Rockwell"/>
        <w:b/>
        <w:color w:val="545456"/>
        <w:sz w:val="22"/>
        <w:szCs w:val="22"/>
      </w:rPr>
      <w:t xml:space="preserve"> </w:t>
    </w:r>
    <w:r w:rsidR="00096CA6">
      <w:rPr>
        <w:rFonts w:ascii="Rockwell" w:hAnsi="Rockwell"/>
        <w:b/>
        <w:color w:val="545456"/>
        <w:sz w:val="22"/>
        <w:szCs w:val="22"/>
      </w:rPr>
      <w:t xml:space="preserve">                                                                                                                   </w:t>
    </w:r>
    <w:r w:rsidR="00D3057D">
      <w:rPr>
        <w:rFonts w:ascii="Rockwell" w:hAnsi="Rockwell"/>
        <w:b/>
        <w:color w:val="545456"/>
        <w:sz w:val="22"/>
        <w:szCs w:val="22"/>
      </w:rPr>
      <w:t xml:space="preserve">         </w:t>
    </w:r>
    <w:r w:rsidR="00420AE1" w:rsidRPr="00420AE1">
      <w:rPr>
        <w:rFonts w:ascii="Rockwell" w:hAnsi="Rockwell"/>
        <w:b/>
        <w:color w:val="545456"/>
        <w:sz w:val="22"/>
        <w:szCs w:val="22"/>
      </w:rPr>
      <w:t xml:space="preserve"> </w:t>
    </w:r>
    <w:r w:rsidR="00CF7536">
      <w:rPr>
        <w:rFonts w:ascii="Rockwell" w:hAnsi="Rockwell"/>
        <w:b/>
        <w:color w:val="545456"/>
        <w:sz w:val="22"/>
        <w:szCs w:val="22"/>
      </w:rPr>
      <w:t xml:space="preserve"> Formulario de Informe</w:t>
    </w:r>
  </w:p>
  <w:p w14:paraId="30401521" w14:textId="42C6B80C" w:rsidR="00EF064A" w:rsidRPr="00CF7536" w:rsidRDefault="00CF7536" w:rsidP="00096CA6">
    <w:pPr>
      <w:pStyle w:val="Encabezado"/>
      <w:tabs>
        <w:tab w:val="right" w:pos="8789"/>
        <w:tab w:val="left" w:pos="8931"/>
      </w:tabs>
      <w:jc w:val="right"/>
      <w:rPr>
        <w:rFonts w:ascii="Rockwell" w:hAnsi="Rockwell"/>
        <w:color w:val="545456"/>
        <w:sz w:val="20"/>
        <w:szCs w:val="36"/>
      </w:rPr>
    </w:pPr>
    <w:r w:rsidRPr="00CF7536">
      <w:rPr>
        <w:rFonts w:ascii="Rockwell" w:hAnsi="Rockwell"/>
        <w:color w:val="545456"/>
        <w:sz w:val="20"/>
        <w:szCs w:val="36"/>
      </w:rPr>
      <w:t>DPD-FO-</w:t>
    </w:r>
    <w:r w:rsidR="00DF50A8">
      <w:rPr>
        <w:rFonts w:ascii="Rockwell" w:hAnsi="Rockwell"/>
        <w:color w:val="545456"/>
        <w:sz w:val="20"/>
        <w:szCs w:val="36"/>
      </w:rPr>
      <w:t>013</w:t>
    </w:r>
  </w:p>
  <w:p w14:paraId="6FC13719" w14:textId="63DF92B9" w:rsidR="00CF7536" w:rsidRPr="00CF7536" w:rsidRDefault="00CF7536" w:rsidP="00096CA6">
    <w:pPr>
      <w:pStyle w:val="Encabezado"/>
      <w:tabs>
        <w:tab w:val="right" w:pos="8789"/>
        <w:tab w:val="left" w:pos="8931"/>
      </w:tabs>
      <w:jc w:val="right"/>
      <w:rPr>
        <w:rFonts w:ascii="Rockwell" w:hAnsi="Rockwell"/>
        <w:color w:val="545456"/>
        <w:sz w:val="20"/>
        <w:szCs w:val="36"/>
      </w:rPr>
    </w:pPr>
    <w:r w:rsidRPr="00CF7536">
      <w:rPr>
        <w:rFonts w:ascii="Rockwell" w:hAnsi="Rockwell"/>
        <w:color w:val="545456"/>
        <w:sz w:val="20"/>
        <w:szCs w:val="36"/>
      </w:rPr>
      <w:t xml:space="preserve">Fecha de Aprobación: </w:t>
    </w:r>
    <w:r w:rsidR="003503C8">
      <w:rPr>
        <w:rFonts w:ascii="Rockwell" w:hAnsi="Rockwell"/>
        <w:color w:val="545456"/>
        <w:sz w:val="20"/>
        <w:szCs w:val="36"/>
      </w:rPr>
      <w:t>20</w:t>
    </w:r>
    <w:r w:rsidRPr="00CF7536">
      <w:rPr>
        <w:rFonts w:ascii="Rockwell" w:hAnsi="Rockwell"/>
        <w:color w:val="545456"/>
        <w:sz w:val="20"/>
        <w:szCs w:val="36"/>
      </w:rPr>
      <w:t>/2/2023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4009"/>
    <w:multiLevelType w:val="hybridMultilevel"/>
    <w:tmpl w:val="61E287B4"/>
    <w:lvl w:ilvl="0" w:tplc="1C0A000B">
      <w:start w:val="1"/>
      <w:numFmt w:val="bullet"/>
      <w:lvlText w:val=""/>
      <w:lvlJc w:val="left"/>
      <w:pPr>
        <w:tabs>
          <w:tab w:val="num" w:pos="720"/>
        </w:tabs>
        <w:ind w:left="720" w:hanging="360"/>
      </w:pPr>
      <w:rPr>
        <w:rFonts w:ascii="Wingdings" w:hAnsi="Wingding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08CB03EB"/>
    <w:multiLevelType w:val="hybridMultilevel"/>
    <w:tmpl w:val="14F2D494"/>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 w15:restartNumberingAfterBreak="0">
    <w:nsid w:val="133916ED"/>
    <w:multiLevelType w:val="hybridMultilevel"/>
    <w:tmpl w:val="84A4216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 w15:restartNumberingAfterBreak="0">
    <w:nsid w:val="18D60A31"/>
    <w:multiLevelType w:val="hybridMultilevel"/>
    <w:tmpl w:val="141E16CC"/>
    <w:lvl w:ilvl="0" w:tplc="1C0A0001">
      <w:start w:val="1"/>
      <w:numFmt w:val="bullet"/>
      <w:lvlText w:val=""/>
      <w:lvlJc w:val="left"/>
      <w:pPr>
        <w:ind w:left="1440" w:hanging="360"/>
      </w:pPr>
      <w:rPr>
        <w:rFonts w:ascii="Symbol" w:hAnsi="Symbol"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4" w15:restartNumberingAfterBreak="0">
    <w:nsid w:val="19A8068C"/>
    <w:multiLevelType w:val="hybridMultilevel"/>
    <w:tmpl w:val="8E747A7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5" w15:restartNumberingAfterBreak="0">
    <w:nsid w:val="220A0FC0"/>
    <w:multiLevelType w:val="hybridMultilevel"/>
    <w:tmpl w:val="791236FE"/>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6" w15:restartNumberingAfterBreak="0">
    <w:nsid w:val="271E643D"/>
    <w:multiLevelType w:val="hybridMultilevel"/>
    <w:tmpl w:val="983E283C"/>
    <w:lvl w:ilvl="0" w:tplc="FB4AC822">
      <w:start w:val="1"/>
      <w:numFmt w:val="bullet"/>
      <w:lvlText w:val=""/>
      <w:lvlJc w:val="left"/>
      <w:pPr>
        <w:tabs>
          <w:tab w:val="num" w:pos="720"/>
        </w:tabs>
        <w:ind w:left="720" w:hanging="360"/>
      </w:pPr>
      <w:rPr>
        <w:rFonts w:ascii="Wingdings 3" w:hAnsi="Wingdings 3" w:hint="default"/>
      </w:rPr>
    </w:lvl>
    <w:lvl w:ilvl="1" w:tplc="76DC3804" w:tentative="1">
      <w:start w:val="1"/>
      <w:numFmt w:val="bullet"/>
      <w:lvlText w:val=""/>
      <w:lvlJc w:val="left"/>
      <w:pPr>
        <w:tabs>
          <w:tab w:val="num" w:pos="1440"/>
        </w:tabs>
        <w:ind w:left="1440" w:hanging="360"/>
      </w:pPr>
      <w:rPr>
        <w:rFonts w:ascii="Wingdings 3" w:hAnsi="Wingdings 3" w:hint="default"/>
      </w:rPr>
    </w:lvl>
    <w:lvl w:ilvl="2" w:tplc="80DC0630" w:tentative="1">
      <w:start w:val="1"/>
      <w:numFmt w:val="bullet"/>
      <w:lvlText w:val=""/>
      <w:lvlJc w:val="left"/>
      <w:pPr>
        <w:tabs>
          <w:tab w:val="num" w:pos="2160"/>
        </w:tabs>
        <w:ind w:left="2160" w:hanging="360"/>
      </w:pPr>
      <w:rPr>
        <w:rFonts w:ascii="Wingdings 3" w:hAnsi="Wingdings 3" w:hint="default"/>
      </w:rPr>
    </w:lvl>
    <w:lvl w:ilvl="3" w:tplc="BDF866E0" w:tentative="1">
      <w:start w:val="1"/>
      <w:numFmt w:val="bullet"/>
      <w:lvlText w:val=""/>
      <w:lvlJc w:val="left"/>
      <w:pPr>
        <w:tabs>
          <w:tab w:val="num" w:pos="2880"/>
        </w:tabs>
        <w:ind w:left="2880" w:hanging="360"/>
      </w:pPr>
      <w:rPr>
        <w:rFonts w:ascii="Wingdings 3" w:hAnsi="Wingdings 3" w:hint="default"/>
      </w:rPr>
    </w:lvl>
    <w:lvl w:ilvl="4" w:tplc="20A254BC" w:tentative="1">
      <w:start w:val="1"/>
      <w:numFmt w:val="bullet"/>
      <w:lvlText w:val=""/>
      <w:lvlJc w:val="left"/>
      <w:pPr>
        <w:tabs>
          <w:tab w:val="num" w:pos="3600"/>
        </w:tabs>
        <w:ind w:left="3600" w:hanging="360"/>
      </w:pPr>
      <w:rPr>
        <w:rFonts w:ascii="Wingdings 3" w:hAnsi="Wingdings 3" w:hint="default"/>
      </w:rPr>
    </w:lvl>
    <w:lvl w:ilvl="5" w:tplc="3F3C6436" w:tentative="1">
      <w:start w:val="1"/>
      <w:numFmt w:val="bullet"/>
      <w:lvlText w:val=""/>
      <w:lvlJc w:val="left"/>
      <w:pPr>
        <w:tabs>
          <w:tab w:val="num" w:pos="4320"/>
        </w:tabs>
        <w:ind w:left="4320" w:hanging="360"/>
      </w:pPr>
      <w:rPr>
        <w:rFonts w:ascii="Wingdings 3" w:hAnsi="Wingdings 3" w:hint="default"/>
      </w:rPr>
    </w:lvl>
    <w:lvl w:ilvl="6" w:tplc="FE386D02" w:tentative="1">
      <w:start w:val="1"/>
      <w:numFmt w:val="bullet"/>
      <w:lvlText w:val=""/>
      <w:lvlJc w:val="left"/>
      <w:pPr>
        <w:tabs>
          <w:tab w:val="num" w:pos="5040"/>
        </w:tabs>
        <w:ind w:left="5040" w:hanging="360"/>
      </w:pPr>
      <w:rPr>
        <w:rFonts w:ascii="Wingdings 3" w:hAnsi="Wingdings 3" w:hint="default"/>
      </w:rPr>
    </w:lvl>
    <w:lvl w:ilvl="7" w:tplc="6BB46B34" w:tentative="1">
      <w:start w:val="1"/>
      <w:numFmt w:val="bullet"/>
      <w:lvlText w:val=""/>
      <w:lvlJc w:val="left"/>
      <w:pPr>
        <w:tabs>
          <w:tab w:val="num" w:pos="5760"/>
        </w:tabs>
        <w:ind w:left="5760" w:hanging="360"/>
      </w:pPr>
      <w:rPr>
        <w:rFonts w:ascii="Wingdings 3" w:hAnsi="Wingdings 3" w:hint="default"/>
      </w:rPr>
    </w:lvl>
    <w:lvl w:ilvl="8" w:tplc="28F6AB92"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27D53E02"/>
    <w:multiLevelType w:val="multilevel"/>
    <w:tmpl w:val="47C25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6A2E1F"/>
    <w:multiLevelType w:val="hybridMultilevel"/>
    <w:tmpl w:val="22100CF4"/>
    <w:lvl w:ilvl="0" w:tplc="1C0A0011">
      <w:start w:val="1"/>
      <w:numFmt w:val="decimal"/>
      <w:lvlText w:val="%1)"/>
      <w:lvlJc w:val="left"/>
      <w:pPr>
        <w:ind w:left="1287" w:hanging="360"/>
      </w:pPr>
    </w:lvl>
    <w:lvl w:ilvl="1" w:tplc="1C0A0019" w:tentative="1">
      <w:start w:val="1"/>
      <w:numFmt w:val="lowerLetter"/>
      <w:lvlText w:val="%2."/>
      <w:lvlJc w:val="left"/>
      <w:pPr>
        <w:ind w:left="2007" w:hanging="360"/>
      </w:pPr>
    </w:lvl>
    <w:lvl w:ilvl="2" w:tplc="1C0A001B" w:tentative="1">
      <w:start w:val="1"/>
      <w:numFmt w:val="lowerRoman"/>
      <w:lvlText w:val="%3."/>
      <w:lvlJc w:val="right"/>
      <w:pPr>
        <w:ind w:left="2727" w:hanging="180"/>
      </w:pPr>
    </w:lvl>
    <w:lvl w:ilvl="3" w:tplc="1C0A000F" w:tentative="1">
      <w:start w:val="1"/>
      <w:numFmt w:val="decimal"/>
      <w:lvlText w:val="%4."/>
      <w:lvlJc w:val="left"/>
      <w:pPr>
        <w:ind w:left="3447" w:hanging="360"/>
      </w:pPr>
    </w:lvl>
    <w:lvl w:ilvl="4" w:tplc="1C0A0019" w:tentative="1">
      <w:start w:val="1"/>
      <w:numFmt w:val="lowerLetter"/>
      <w:lvlText w:val="%5."/>
      <w:lvlJc w:val="left"/>
      <w:pPr>
        <w:ind w:left="4167" w:hanging="360"/>
      </w:pPr>
    </w:lvl>
    <w:lvl w:ilvl="5" w:tplc="1C0A001B" w:tentative="1">
      <w:start w:val="1"/>
      <w:numFmt w:val="lowerRoman"/>
      <w:lvlText w:val="%6."/>
      <w:lvlJc w:val="right"/>
      <w:pPr>
        <w:ind w:left="4887" w:hanging="180"/>
      </w:pPr>
    </w:lvl>
    <w:lvl w:ilvl="6" w:tplc="1C0A000F" w:tentative="1">
      <w:start w:val="1"/>
      <w:numFmt w:val="decimal"/>
      <w:lvlText w:val="%7."/>
      <w:lvlJc w:val="left"/>
      <w:pPr>
        <w:ind w:left="5607" w:hanging="360"/>
      </w:pPr>
    </w:lvl>
    <w:lvl w:ilvl="7" w:tplc="1C0A0019" w:tentative="1">
      <w:start w:val="1"/>
      <w:numFmt w:val="lowerLetter"/>
      <w:lvlText w:val="%8."/>
      <w:lvlJc w:val="left"/>
      <w:pPr>
        <w:ind w:left="6327" w:hanging="360"/>
      </w:pPr>
    </w:lvl>
    <w:lvl w:ilvl="8" w:tplc="1C0A001B" w:tentative="1">
      <w:start w:val="1"/>
      <w:numFmt w:val="lowerRoman"/>
      <w:lvlText w:val="%9."/>
      <w:lvlJc w:val="right"/>
      <w:pPr>
        <w:ind w:left="7047" w:hanging="180"/>
      </w:pPr>
    </w:lvl>
  </w:abstractNum>
  <w:abstractNum w:abstractNumId="9" w15:restartNumberingAfterBreak="0">
    <w:nsid w:val="28870299"/>
    <w:multiLevelType w:val="hybridMultilevel"/>
    <w:tmpl w:val="AEBCD74C"/>
    <w:lvl w:ilvl="0" w:tplc="43F2E834">
      <w:numFmt w:val="bullet"/>
      <w:lvlText w:val="-"/>
      <w:lvlJc w:val="left"/>
      <w:pPr>
        <w:ind w:left="720" w:hanging="360"/>
      </w:pPr>
      <w:rPr>
        <w:rFonts w:ascii="Calibri" w:eastAsia="Calibri" w:hAnsi="Calibri" w:hint="default"/>
      </w:rPr>
    </w:lvl>
    <w:lvl w:ilvl="1" w:tplc="1C0A0003">
      <w:start w:val="1"/>
      <w:numFmt w:val="bullet"/>
      <w:lvlText w:val="o"/>
      <w:lvlJc w:val="left"/>
      <w:pPr>
        <w:ind w:left="1440" w:hanging="360"/>
      </w:pPr>
      <w:rPr>
        <w:rFonts w:ascii="Courier New" w:hAnsi="Courier New" w:cs="Courier New" w:hint="default"/>
      </w:rPr>
    </w:lvl>
    <w:lvl w:ilvl="2" w:tplc="1C0A0005">
      <w:start w:val="1"/>
      <w:numFmt w:val="bullet"/>
      <w:lvlText w:val=""/>
      <w:lvlJc w:val="left"/>
      <w:pPr>
        <w:ind w:left="2160" w:hanging="360"/>
      </w:pPr>
      <w:rPr>
        <w:rFonts w:ascii="Wingdings" w:hAnsi="Wingdings" w:hint="default"/>
      </w:rPr>
    </w:lvl>
    <w:lvl w:ilvl="3" w:tplc="1C0A0001">
      <w:start w:val="1"/>
      <w:numFmt w:val="bullet"/>
      <w:lvlText w:val=""/>
      <w:lvlJc w:val="left"/>
      <w:pPr>
        <w:ind w:left="2880" w:hanging="360"/>
      </w:pPr>
      <w:rPr>
        <w:rFonts w:ascii="Symbol" w:hAnsi="Symbol" w:hint="default"/>
      </w:rPr>
    </w:lvl>
    <w:lvl w:ilvl="4" w:tplc="1C0A0003">
      <w:start w:val="1"/>
      <w:numFmt w:val="bullet"/>
      <w:lvlText w:val="o"/>
      <w:lvlJc w:val="left"/>
      <w:pPr>
        <w:ind w:left="3600" w:hanging="360"/>
      </w:pPr>
      <w:rPr>
        <w:rFonts w:ascii="Courier New" w:hAnsi="Courier New" w:cs="Courier New" w:hint="default"/>
      </w:rPr>
    </w:lvl>
    <w:lvl w:ilvl="5" w:tplc="1C0A0005">
      <w:start w:val="1"/>
      <w:numFmt w:val="bullet"/>
      <w:lvlText w:val=""/>
      <w:lvlJc w:val="left"/>
      <w:pPr>
        <w:ind w:left="4320" w:hanging="360"/>
      </w:pPr>
      <w:rPr>
        <w:rFonts w:ascii="Wingdings" w:hAnsi="Wingdings" w:hint="default"/>
      </w:rPr>
    </w:lvl>
    <w:lvl w:ilvl="6" w:tplc="1C0A0001">
      <w:start w:val="1"/>
      <w:numFmt w:val="bullet"/>
      <w:lvlText w:val=""/>
      <w:lvlJc w:val="left"/>
      <w:pPr>
        <w:ind w:left="5040" w:hanging="360"/>
      </w:pPr>
      <w:rPr>
        <w:rFonts w:ascii="Symbol" w:hAnsi="Symbol" w:hint="default"/>
      </w:rPr>
    </w:lvl>
    <w:lvl w:ilvl="7" w:tplc="1C0A0003">
      <w:start w:val="1"/>
      <w:numFmt w:val="bullet"/>
      <w:lvlText w:val="o"/>
      <w:lvlJc w:val="left"/>
      <w:pPr>
        <w:ind w:left="5760" w:hanging="360"/>
      </w:pPr>
      <w:rPr>
        <w:rFonts w:ascii="Courier New" w:hAnsi="Courier New" w:cs="Courier New" w:hint="default"/>
      </w:rPr>
    </w:lvl>
    <w:lvl w:ilvl="8" w:tplc="1C0A0005">
      <w:start w:val="1"/>
      <w:numFmt w:val="bullet"/>
      <w:lvlText w:val=""/>
      <w:lvlJc w:val="left"/>
      <w:pPr>
        <w:ind w:left="6480" w:hanging="360"/>
      </w:pPr>
      <w:rPr>
        <w:rFonts w:ascii="Wingdings" w:hAnsi="Wingdings" w:hint="default"/>
      </w:rPr>
    </w:lvl>
  </w:abstractNum>
  <w:abstractNum w:abstractNumId="10" w15:restartNumberingAfterBreak="0">
    <w:nsid w:val="29ED3420"/>
    <w:multiLevelType w:val="hybridMultilevel"/>
    <w:tmpl w:val="A186FCE8"/>
    <w:lvl w:ilvl="0" w:tplc="ABC67BF4">
      <w:numFmt w:val="bullet"/>
      <w:lvlText w:val="•"/>
      <w:lvlJc w:val="left"/>
      <w:pPr>
        <w:ind w:left="1065" w:hanging="705"/>
      </w:pPr>
      <w:rPr>
        <w:rFonts w:ascii="Times New Roman" w:eastAsia="Times New Roman" w:hAnsi="Times New Roman" w:cs="Times New Roman"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1" w15:restartNumberingAfterBreak="0">
    <w:nsid w:val="2EC31E24"/>
    <w:multiLevelType w:val="hybridMultilevel"/>
    <w:tmpl w:val="86B696EE"/>
    <w:lvl w:ilvl="0" w:tplc="35B0E7F6">
      <w:start w:val="2"/>
      <w:numFmt w:val="bullet"/>
      <w:lvlText w:val="-"/>
      <w:lvlJc w:val="left"/>
      <w:pPr>
        <w:ind w:left="720" w:hanging="360"/>
      </w:pPr>
      <w:rPr>
        <w:rFonts w:ascii="Calibri" w:eastAsia="Times New Roman" w:hAnsi="Calibri" w:cstheme="minorHAnsi"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2" w15:restartNumberingAfterBreak="0">
    <w:nsid w:val="31D16D8F"/>
    <w:multiLevelType w:val="hybridMultilevel"/>
    <w:tmpl w:val="E70C5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425A26"/>
    <w:multiLevelType w:val="multilevel"/>
    <w:tmpl w:val="3E52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E569C"/>
    <w:multiLevelType w:val="hybridMultilevel"/>
    <w:tmpl w:val="D2FEFC36"/>
    <w:lvl w:ilvl="0" w:tplc="4C7475EA">
      <w:start w:val="1"/>
      <w:numFmt w:val="bullet"/>
      <w:lvlText w:val="¨"/>
      <w:lvlJc w:val="left"/>
      <w:pPr>
        <w:ind w:left="1632" w:hanging="360"/>
      </w:pPr>
      <w:rPr>
        <w:rFonts w:ascii="Wingdings" w:hAnsi="Wingdings" w:hint="default"/>
      </w:rPr>
    </w:lvl>
    <w:lvl w:ilvl="1" w:tplc="1C0A0003">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5" w15:restartNumberingAfterBreak="0">
    <w:nsid w:val="3BEC025D"/>
    <w:multiLevelType w:val="hybridMultilevel"/>
    <w:tmpl w:val="8C3EBD1E"/>
    <w:lvl w:ilvl="0" w:tplc="B198A4C4">
      <w:start w:val="1"/>
      <w:numFmt w:val="bullet"/>
      <w:lvlText w:val=""/>
      <w:lvlJc w:val="left"/>
      <w:pPr>
        <w:tabs>
          <w:tab w:val="num" w:pos="720"/>
        </w:tabs>
        <w:ind w:left="720" w:hanging="360"/>
      </w:pPr>
      <w:rPr>
        <w:rFonts w:ascii="Wingdings 3" w:hAnsi="Wingdings 3" w:hint="default"/>
      </w:rPr>
    </w:lvl>
    <w:lvl w:ilvl="1" w:tplc="8D48AD8E" w:tentative="1">
      <w:start w:val="1"/>
      <w:numFmt w:val="bullet"/>
      <w:lvlText w:val=""/>
      <w:lvlJc w:val="left"/>
      <w:pPr>
        <w:tabs>
          <w:tab w:val="num" w:pos="1440"/>
        </w:tabs>
        <w:ind w:left="1440" w:hanging="360"/>
      </w:pPr>
      <w:rPr>
        <w:rFonts w:ascii="Wingdings 3" w:hAnsi="Wingdings 3" w:hint="default"/>
      </w:rPr>
    </w:lvl>
    <w:lvl w:ilvl="2" w:tplc="A7F87424" w:tentative="1">
      <w:start w:val="1"/>
      <w:numFmt w:val="bullet"/>
      <w:lvlText w:val=""/>
      <w:lvlJc w:val="left"/>
      <w:pPr>
        <w:tabs>
          <w:tab w:val="num" w:pos="2160"/>
        </w:tabs>
        <w:ind w:left="2160" w:hanging="360"/>
      </w:pPr>
      <w:rPr>
        <w:rFonts w:ascii="Wingdings 3" w:hAnsi="Wingdings 3" w:hint="default"/>
      </w:rPr>
    </w:lvl>
    <w:lvl w:ilvl="3" w:tplc="286AC32A" w:tentative="1">
      <w:start w:val="1"/>
      <w:numFmt w:val="bullet"/>
      <w:lvlText w:val=""/>
      <w:lvlJc w:val="left"/>
      <w:pPr>
        <w:tabs>
          <w:tab w:val="num" w:pos="2880"/>
        </w:tabs>
        <w:ind w:left="2880" w:hanging="360"/>
      </w:pPr>
      <w:rPr>
        <w:rFonts w:ascii="Wingdings 3" w:hAnsi="Wingdings 3" w:hint="default"/>
      </w:rPr>
    </w:lvl>
    <w:lvl w:ilvl="4" w:tplc="96001F6A" w:tentative="1">
      <w:start w:val="1"/>
      <w:numFmt w:val="bullet"/>
      <w:lvlText w:val=""/>
      <w:lvlJc w:val="left"/>
      <w:pPr>
        <w:tabs>
          <w:tab w:val="num" w:pos="3600"/>
        </w:tabs>
        <w:ind w:left="3600" w:hanging="360"/>
      </w:pPr>
      <w:rPr>
        <w:rFonts w:ascii="Wingdings 3" w:hAnsi="Wingdings 3" w:hint="default"/>
      </w:rPr>
    </w:lvl>
    <w:lvl w:ilvl="5" w:tplc="A614B674" w:tentative="1">
      <w:start w:val="1"/>
      <w:numFmt w:val="bullet"/>
      <w:lvlText w:val=""/>
      <w:lvlJc w:val="left"/>
      <w:pPr>
        <w:tabs>
          <w:tab w:val="num" w:pos="4320"/>
        </w:tabs>
        <w:ind w:left="4320" w:hanging="360"/>
      </w:pPr>
      <w:rPr>
        <w:rFonts w:ascii="Wingdings 3" w:hAnsi="Wingdings 3" w:hint="default"/>
      </w:rPr>
    </w:lvl>
    <w:lvl w:ilvl="6" w:tplc="FB603CE8" w:tentative="1">
      <w:start w:val="1"/>
      <w:numFmt w:val="bullet"/>
      <w:lvlText w:val=""/>
      <w:lvlJc w:val="left"/>
      <w:pPr>
        <w:tabs>
          <w:tab w:val="num" w:pos="5040"/>
        </w:tabs>
        <w:ind w:left="5040" w:hanging="360"/>
      </w:pPr>
      <w:rPr>
        <w:rFonts w:ascii="Wingdings 3" w:hAnsi="Wingdings 3" w:hint="default"/>
      </w:rPr>
    </w:lvl>
    <w:lvl w:ilvl="7" w:tplc="15024068" w:tentative="1">
      <w:start w:val="1"/>
      <w:numFmt w:val="bullet"/>
      <w:lvlText w:val=""/>
      <w:lvlJc w:val="left"/>
      <w:pPr>
        <w:tabs>
          <w:tab w:val="num" w:pos="5760"/>
        </w:tabs>
        <w:ind w:left="5760" w:hanging="360"/>
      </w:pPr>
      <w:rPr>
        <w:rFonts w:ascii="Wingdings 3" w:hAnsi="Wingdings 3" w:hint="default"/>
      </w:rPr>
    </w:lvl>
    <w:lvl w:ilvl="8" w:tplc="3650FE9C"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418A1579"/>
    <w:multiLevelType w:val="hybridMultilevel"/>
    <w:tmpl w:val="0AB8A01C"/>
    <w:lvl w:ilvl="0" w:tplc="DDCEE74C">
      <w:start w:val="1"/>
      <w:numFmt w:val="bullet"/>
      <w:lvlText w:val=""/>
      <w:lvlJc w:val="left"/>
      <w:pPr>
        <w:tabs>
          <w:tab w:val="num" w:pos="720"/>
        </w:tabs>
        <w:ind w:left="720" w:hanging="360"/>
      </w:pPr>
      <w:rPr>
        <w:rFonts w:ascii="Wingdings 3" w:hAnsi="Wingdings 3"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17" w15:restartNumberingAfterBreak="0">
    <w:nsid w:val="4C3A7F5E"/>
    <w:multiLevelType w:val="hybridMultilevel"/>
    <w:tmpl w:val="0EB0C22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8" w15:restartNumberingAfterBreak="0">
    <w:nsid w:val="4D1D22AB"/>
    <w:multiLevelType w:val="multilevel"/>
    <w:tmpl w:val="51689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B43CE3"/>
    <w:multiLevelType w:val="hybridMultilevel"/>
    <w:tmpl w:val="4412F0B4"/>
    <w:lvl w:ilvl="0" w:tplc="1C0A000D">
      <w:start w:val="1"/>
      <w:numFmt w:val="bullet"/>
      <w:lvlText w:val=""/>
      <w:lvlJc w:val="left"/>
      <w:pPr>
        <w:tabs>
          <w:tab w:val="num" w:pos="720"/>
        </w:tabs>
        <w:ind w:left="720" w:hanging="360"/>
      </w:pPr>
      <w:rPr>
        <w:rFonts w:ascii="Wingdings" w:hAnsi="Wingding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20" w15:restartNumberingAfterBreak="0">
    <w:nsid w:val="4F2F7AC3"/>
    <w:multiLevelType w:val="multilevel"/>
    <w:tmpl w:val="BC7C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920726"/>
    <w:multiLevelType w:val="hybridMultilevel"/>
    <w:tmpl w:val="F9000F3A"/>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2" w15:restartNumberingAfterBreak="0">
    <w:nsid w:val="51FC769F"/>
    <w:multiLevelType w:val="hybridMultilevel"/>
    <w:tmpl w:val="04E8A502"/>
    <w:lvl w:ilvl="0" w:tplc="0C0A000F">
      <w:start w:val="1"/>
      <w:numFmt w:val="decimal"/>
      <w:lvlText w:val="%1."/>
      <w:lvlJc w:val="left"/>
      <w:pPr>
        <w:ind w:left="360" w:hanging="360"/>
      </w:pPr>
    </w:lvl>
    <w:lvl w:ilvl="1" w:tplc="0C0A0019" w:tentative="1">
      <w:start w:val="1"/>
      <w:numFmt w:val="lowerLetter"/>
      <w:lvlText w:val="%2."/>
      <w:lvlJc w:val="left"/>
      <w:pPr>
        <w:ind w:left="1733" w:hanging="360"/>
      </w:pPr>
    </w:lvl>
    <w:lvl w:ilvl="2" w:tplc="0C0A001B" w:tentative="1">
      <w:start w:val="1"/>
      <w:numFmt w:val="lowerRoman"/>
      <w:lvlText w:val="%3."/>
      <w:lvlJc w:val="right"/>
      <w:pPr>
        <w:ind w:left="2453" w:hanging="180"/>
      </w:pPr>
    </w:lvl>
    <w:lvl w:ilvl="3" w:tplc="0C0A000F" w:tentative="1">
      <w:start w:val="1"/>
      <w:numFmt w:val="decimal"/>
      <w:lvlText w:val="%4."/>
      <w:lvlJc w:val="left"/>
      <w:pPr>
        <w:ind w:left="3173" w:hanging="360"/>
      </w:pPr>
    </w:lvl>
    <w:lvl w:ilvl="4" w:tplc="0C0A0019" w:tentative="1">
      <w:start w:val="1"/>
      <w:numFmt w:val="lowerLetter"/>
      <w:lvlText w:val="%5."/>
      <w:lvlJc w:val="left"/>
      <w:pPr>
        <w:ind w:left="3893" w:hanging="360"/>
      </w:pPr>
    </w:lvl>
    <w:lvl w:ilvl="5" w:tplc="0C0A001B" w:tentative="1">
      <w:start w:val="1"/>
      <w:numFmt w:val="lowerRoman"/>
      <w:lvlText w:val="%6."/>
      <w:lvlJc w:val="right"/>
      <w:pPr>
        <w:ind w:left="4613" w:hanging="180"/>
      </w:pPr>
    </w:lvl>
    <w:lvl w:ilvl="6" w:tplc="0C0A000F" w:tentative="1">
      <w:start w:val="1"/>
      <w:numFmt w:val="decimal"/>
      <w:lvlText w:val="%7."/>
      <w:lvlJc w:val="left"/>
      <w:pPr>
        <w:ind w:left="5333" w:hanging="360"/>
      </w:pPr>
    </w:lvl>
    <w:lvl w:ilvl="7" w:tplc="0C0A0019" w:tentative="1">
      <w:start w:val="1"/>
      <w:numFmt w:val="lowerLetter"/>
      <w:lvlText w:val="%8."/>
      <w:lvlJc w:val="left"/>
      <w:pPr>
        <w:ind w:left="6053" w:hanging="360"/>
      </w:pPr>
    </w:lvl>
    <w:lvl w:ilvl="8" w:tplc="0C0A001B" w:tentative="1">
      <w:start w:val="1"/>
      <w:numFmt w:val="lowerRoman"/>
      <w:lvlText w:val="%9."/>
      <w:lvlJc w:val="right"/>
      <w:pPr>
        <w:ind w:left="6773" w:hanging="180"/>
      </w:pPr>
    </w:lvl>
  </w:abstractNum>
  <w:abstractNum w:abstractNumId="23" w15:restartNumberingAfterBreak="0">
    <w:nsid w:val="570B1370"/>
    <w:multiLevelType w:val="hybridMultilevel"/>
    <w:tmpl w:val="A5C4DD34"/>
    <w:lvl w:ilvl="0" w:tplc="1C0A000D">
      <w:start w:val="1"/>
      <w:numFmt w:val="bullet"/>
      <w:lvlText w:val=""/>
      <w:lvlJc w:val="left"/>
      <w:pPr>
        <w:ind w:left="2160" w:hanging="360"/>
      </w:pPr>
      <w:rPr>
        <w:rFonts w:ascii="Wingdings" w:hAnsi="Wingdings" w:hint="default"/>
      </w:rPr>
    </w:lvl>
    <w:lvl w:ilvl="1" w:tplc="1C0A0003" w:tentative="1">
      <w:start w:val="1"/>
      <w:numFmt w:val="bullet"/>
      <w:lvlText w:val="o"/>
      <w:lvlJc w:val="left"/>
      <w:pPr>
        <w:ind w:left="2880" w:hanging="360"/>
      </w:pPr>
      <w:rPr>
        <w:rFonts w:ascii="Courier New" w:hAnsi="Courier New" w:cs="Courier New" w:hint="default"/>
      </w:rPr>
    </w:lvl>
    <w:lvl w:ilvl="2" w:tplc="1C0A0005" w:tentative="1">
      <w:start w:val="1"/>
      <w:numFmt w:val="bullet"/>
      <w:lvlText w:val=""/>
      <w:lvlJc w:val="left"/>
      <w:pPr>
        <w:ind w:left="3600" w:hanging="360"/>
      </w:pPr>
      <w:rPr>
        <w:rFonts w:ascii="Wingdings" w:hAnsi="Wingdings" w:hint="default"/>
      </w:rPr>
    </w:lvl>
    <w:lvl w:ilvl="3" w:tplc="1C0A0001" w:tentative="1">
      <w:start w:val="1"/>
      <w:numFmt w:val="bullet"/>
      <w:lvlText w:val=""/>
      <w:lvlJc w:val="left"/>
      <w:pPr>
        <w:ind w:left="4320" w:hanging="360"/>
      </w:pPr>
      <w:rPr>
        <w:rFonts w:ascii="Symbol" w:hAnsi="Symbol" w:hint="default"/>
      </w:rPr>
    </w:lvl>
    <w:lvl w:ilvl="4" w:tplc="1C0A0003" w:tentative="1">
      <w:start w:val="1"/>
      <w:numFmt w:val="bullet"/>
      <w:lvlText w:val="o"/>
      <w:lvlJc w:val="left"/>
      <w:pPr>
        <w:ind w:left="5040" w:hanging="360"/>
      </w:pPr>
      <w:rPr>
        <w:rFonts w:ascii="Courier New" w:hAnsi="Courier New" w:cs="Courier New" w:hint="default"/>
      </w:rPr>
    </w:lvl>
    <w:lvl w:ilvl="5" w:tplc="1C0A0005" w:tentative="1">
      <w:start w:val="1"/>
      <w:numFmt w:val="bullet"/>
      <w:lvlText w:val=""/>
      <w:lvlJc w:val="left"/>
      <w:pPr>
        <w:ind w:left="5760" w:hanging="360"/>
      </w:pPr>
      <w:rPr>
        <w:rFonts w:ascii="Wingdings" w:hAnsi="Wingdings" w:hint="default"/>
      </w:rPr>
    </w:lvl>
    <w:lvl w:ilvl="6" w:tplc="1C0A0001" w:tentative="1">
      <w:start w:val="1"/>
      <w:numFmt w:val="bullet"/>
      <w:lvlText w:val=""/>
      <w:lvlJc w:val="left"/>
      <w:pPr>
        <w:ind w:left="6480" w:hanging="360"/>
      </w:pPr>
      <w:rPr>
        <w:rFonts w:ascii="Symbol" w:hAnsi="Symbol" w:hint="default"/>
      </w:rPr>
    </w:lvl>
    <w:lvl w:ilvl="7" w:tplc="1C0A0003" w:tentative="1">
      <w:start w:val="1"/>
      <w:numFmt w:val="bullet"/>
      <w:lvlText w:val="o"/>
      <w:lvlJc w:val="left"/>
      <w:pPr>
        <w:ind w:left="7200" w:hanging="360"/>
      </w:pPr>
      <w:rPr>
        <w:rFonts w:ascii="Courier New" w:hAnsi="Courier New" w:cs="Courier New" w:hint="default"/>
      </w:rPr>
    </w:lvl>
    <w:lvl w:ilvl="8" w:tplc="1C0A0005" w:tentative="1">
      <w:start w:val="1"/>
      <w:numFmt w:val="bullet"/>
      <w:lvlText w:val=""/>
      <w:lvlJc w:val="left"/>
      <w:pPr>
        <w:ind w:left="7920" w:hanging="360"/>
      </w:pPr>
      <w:rPr>
        <w:rFonts w:ascii="Wingdings" w:hAnsi="Wingdings" w:hint="default"/>
      </w:rPr>
    </w:lvl>
  </w:abstractNum>
  <w:abstractNum w:abstractNumId="24" w15:restartNumberingAfterBreak="0">
    <w:nsid w:val="5B307BF2"/>
    <w:multiLevelType w:val="hybridMultilevel"/>
    <w:tmpl w:val="8530077A"/>
    <w:lvl w:ilvl="0" w:tplc="8A986EAC">
      <w:start w:val="1"/>
      <w:numFmt w:val="bullet"/>
      <w:lvlText w:val="þ"/>
      <w:lvlJc w:val="left"/>
      <w:pPr>
        <w:ind w:left="1272" w:hanging="360"/>
      </w:pPr>
      <w:rPr>
        <w:rFonts w:ascii="Wingdings" w:hAnsi="Wingdings"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5" w15:restartNumberingAfterBreak="0">
    <w:nsid w:val="602E00C7"/>
    <w:multiLevelType w:val="hybridMultilevel"/>
    <w:tmpl w:val="E7266072"/>
    <w:lvl w:ilvl="0" w:tplc="ABC67BF4">
      <w:numFmt w:val="bullet"/>
      <w:lvlText w:val="•"/>
      <w:lvlJc w:val="left"/>
      <w:pPr>
        <w:ind w:left="1065" w:hanging="705"/>
      </w:pPr>
      <w:rPr>
        <w:rFonts w:ascii="Times New Roman" w:eastAsia="Times New Roman" w:hAnsi="Times New Roman" w:cs="Times New Roman"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6" w15:restartNumberingAfterBreak="0">
    <w:nsid w:val="60BA113E"/>
    <w:multiLevelType w:val="hybridMultilevel"/>
    <w:tmpl w:val="5E6260B0"/>
    <w:lvl w:ilvl="0" w:tplc="1C0A0001">
      <w:start w:val="1"/>
      <w:numFmt w:val="bullet"/>
      <w:lvlText w:val=""/>
      <w:lvlJc w:val="left"/>
      <w:pPr>
        <w:ind w:left="1440" w:hanging="360"/>
      </w:pPr>
      <w:rPr>
        <w:rFonts w:ascii="Symbol" w:hAnsi="Symbol" w:hint="default"/>
      </w:rPr>
    </w:lvl>
    <w:lvl w:ilvl="1" w:tplc="1C0A0003" w:tentative="1">
      <w:start w:val="1"/>
      <w:numFmt w:val="bullet"/>
      <w:lvlText w:val="o"/>
      <w:lvlJc w:val="left"/>
      <w:pPr>
        <w:ind w:left="2160" w:hanging="360"/>
      </w:pPr>
      <w:rPr>
        <w:rFonts w:ascii="Courier New" w:hAnsi="Courier New" w:cs="Courier New" w:hint="default"/>
      </w:rPr>
    </w:lvl>
    <w:lvl w:ilvl="2" w:tplc="1C0A0005" w:tentative="1">
      <w:start w:val="1"/>
      <w:numFmt w:val="bullet"/>
      <w:lvlText w:val=""/>
      <w:lvlJc w:val="left"/>
      <w:pPr>
        <w:ind w:left="2880" w:hanging="360"/>
      </w:pPr>
      <w:rPr>
        <w:rFonts w:ascii="Wingdings" w:hAnsi="Wingdings" w:hint="default"/>
      </w:rPr>
    </w:lvl>
    <w:lvl w:ilvl="3" w:tplc="1C0A0001" w:tentative="1">
      <w:start w:val="1"/>
      <w:numFmt w:val="bullet"/>
      <w:lvlText w:val=""/>
      <w:lvlJc w:val="left"/>
      <w:pPr>
        <w:ind w:left="3600" w:hanging="360"/>
      </w:pPr>
      <w:rPr>
        <w:rFonts w:ascii="Symbol" w:hAnsi="Symbol" w:hint="default"/>
      </w:rPr>
    </w:lvl>
    <w:lvl w:ilvl="4" w:tplc="1C0A0003" w:tentative="1">
      <w:start w:val="1"/>
      <w:numFmt w:val="bullet"/>
      <w:lvlText w:val="o"/>
      <w:lvlJc w:val="left"/>
      <w:pPr>
        <w:ind w:left="4320" w:hanging="360"/>
      </w:pPr>
      <w:rPr>
        <w:rFonts w:ascii="Courier New" w:hAnsi="Courier New" w:cs="Courier New" w:hint="default"/>
      </w:rPr>
    </w:lvl>
    <w:lvl w:ilvl="5" w:tplc="1C0A0005" w:tentative="1">
      <w:start w:val="1"/>
      <w:numFmt w:val="bullet"/>
      <w:lvlText w:val=""/>
      <w:lvlJc w:val="left"/>
      <w:pPr>
        <w:ind w:left="5040" w:hanging="360"/>
      </w:pPr>
      <w:rPr>
        <w:rFonts w:ascii="Wingdings" w:hAnsi="Wingdings" w:hint="default"/>
      </w:rPr>
    </w:lvl>
    <w:lvl w:ilvl="6" w:tplc="1C0A0001" w:tentative="1">
      <w:start w:val="1"/>
      <w:numFmt w:val="bullet"/>
      <w:lvlText w:val=""/>
      <w:lvlJc w:val="left"/>
      <w:pPr>
        <w:ind w:left="5760" w:hanging="360"/>
      </w:pPr>
      <w:rPr>
        <w:rFonts w:ascii="Symbol" w:hAnsi="Symbol" w:hint="default"/>
      </w:rPr>
    </w:lvl>
    <w:lvl w:ilvl="7" w:tplc="1C0A0003" w:tentative="1">
      <w:start w:val="1"/>
      <w:numFmt w:val="bullet"/>
      <w:lvlText w:val="o"/>
      <w:lvlJc w:val="left"/>
      <w:pPr>
        <w:ind w:left="6480" w:hanging="360"/>
      </w:pPr>
      <w:rPr>
        <w:rFonts w:ascii="Courier New" w:hAnsi="Courier New" w:cs="Courier New" w:hint="default"/>
      </w:rPr>
    </w:lvl>
    <w:lvl w:ilvl="8" w:tplc="1C0A0005" w:tentative="1">
      <w:start w:val="1"/>
      <w:numFmt w:val="bullet"/>
      <w:lvlText w:val=""/>
      <w:lvlJc w:val="left"/>
      <w:pPr>
        <w:ind w:left="7200" w:hanging="360"/>
      </w:pPr>
      <w:rPr>
        <w:rFonts w:ascii="Wingdings" w:hAnsi="Wingdings" w:hint="default"/>
      </w:rPr>
    </w:lvl>
  </w:abstractNum>
  <w:abstractNum w:abstractNumId="27" w15:restartNumberingAfterBreak="0">
    <w:nsid w:val="68972D09"/>
    <w:multiLevelType w:val="hybridMultilevel"/>
    <w:tmpl w:val="2EE69B60"/>
    <w:lvl w:ilvl="0" w:tplc="4498CB56">
      <w:start w:val="5"/>
      <w:numFmt w:val="bullet"/>
      <w:lvlText w:val="-"/>
      <w:lvlJc w:val="left"/>
      <w:pPr>
        <w:ind w:left="1800" w:hanging="360"/>
      </w:pPr>
      <w:rPr>
        <w:rFonts w:ascii="Calibri" w:eastAsia="Times New Roman" w:hAnsi="Calibri" w:cstheme="minorHAnsi" w:hint="default"/>
      </w:rPr>
    </w:lvl>
    <w:lvl w:ilvl="1" w:tplc="1C0A0003" w:tentative="1">
      <w:start w:val="1"/>
      <w:numFmt w:val="bullet"/>
      <w:lvlText w:val="o"/>
      <w:lvlJc w:val="left"/>
      <w:pPr>
        <w:ind w:left="2520" w:hanging="360"/>
      </w:pPr>
      <w:rPr>
        <w:rFonts w:ascii="Courier New" w:hAnsi="Courier New" w:cs="Courier New" w:hint="default"/>
      </w:rPr>
    </w:lvl>
    <w:lvl w:ilvl="2" w:tplc="1C0A0005" w:tentative="1">
      <w:start w:val="1"/>
      <w:numFmt w:val="bullet"/>
      <w:lvlText w:val=""/>
      <w:lvlJc w:val="left"/>
      <w:pPr>
        <w:ind w:left="3240" w:hanging="360"/>
      </w:pPr>
      <w:rPr>
        <w:rFonts w:ascii="Wingdings" w:hAnsi="Wingdings" w:hint="default"/>
      </w:rPr>
    </w:lvl>
    <w:lvl w:ilvl="3" w:tplc="1C0A0001" w:tentative="1">
      <w:start w:val="1"/>
      <w:numFmt w:val="bullet"/>
      <w:lvlText w:val=""/>
      <w:lvlJc w:val="left"/>
      <w:pPr>
        <w:ind w:left="3960" w:hanging="360"/>
      </w:pPr>
      <w:rPr>
        <w:rFonts w:ascii="Symbol" w:hAnsi="Symbol" w:hint="default"/>
      </w:rPr>
    </w:lvl>
    <w:lvl w:ilvl="4" w:tplc="1C0A0003" w:tentative="1">
      <w:start w:val="1"/>
      <w:numFmt w:val="bullet"/>
      <w:lvlText w:val="o"/>
      <w:lvlJc w:val="left"/>
      <w:pPr>
        <w:ind w:left="4680" w:hanging="360"/>
      </w:pPr>
      <w:rPr>
        <w:rFonts w:ascii="Courier New" w:hAnsi="Courier New" w:cs="Courier New" w:hint="default"/>
      </w:rPr>
    </w:lvl>
    <w:lvl w:ilvl="5" w:tplc="1C0A0005" w:tentative="1">
      <w:start w:val="1"/>
      <w:numFmt w:val="bullet"/>
      <w:lvlText w:val=""/>
      <w:lvlJc w:val="left"/>
      <w:pPr>
        <w:ind w:left="5400" w:hanging="360"/>
      </w:pPr>
      <w:rPr>
        <w:rFonts w:ascii="Wingdings" w:hAnsi="Wingdings" w:hint="default"/>
      </w:rPr>
    </w:lvl>
    <w:lvl w:ilvl="6" w:tplc="1C0A0001" w:tentative="1">
      <w:start w:val="1"/>
      <w:numFmt w:val="bullet"/>
      <w:lvlText w:val=""/>
      <w:lvlJc w:val="left"/>
      <w:pPr>
        <w:ind w:left="6120" w:hanging="360"/>
      </w:pPr>
      <w:rPr>
        <w:rFonts w:ascii="Symbol" w:hAnsi="Symbol" w:hint="default"/>
      </w:rPr>
    </w:lvl>
    <w:lvl w:ilvl="7" w:tplc="1C0A0003" w:tentative="1">
      <w:start w:val="1"/>
      <w:numFmt w:val="bullet"/>
      <w:lvlText w:val="o"/>
      <w:lvlJc w:val="left"/>
      <w:pPr>
        <w:ind w:left="6840" w:hanging="360"/>
      </w:pPr>
      <w:rPr>
        <w:rFonts w:ascii="Courier New" w:hAnsi="Courier New" w:cs="Courier New" w:hint="default"/>
      </w:rPr>
    </w:lvl>
    <w:lvl w:ilvl="8" w:tplc="1C0A0005" w:tentative="1">
      <w:start w:val="1"/>
      <w:numFmt w:val="bullet"/>
      <w:lvlText w:val=""/>
      <w:lvlJc w:val="left"/>
      <w:pPr>
        <w:ind w:left="7560" w:hanging="360"/>
      </w:pPr>
      <w:rPr>
        <w:rFonts w:ascii="Wingdings" w:hAnsi="Wingdings" w:hint="default"/>
      </w:rPr>
    </w:lvl>
  </w:abstractNum>
  <w:abstractNum w:abstractNumId="28" w15:restartNumberingAfterBreak="0">
    <w:nsid w:val="6A6A2161"/>
    <w:multiLevelType w:val="multilevel"/>
    <w:tmpl w:val="7568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BA310A"/>
    <w:multiLevelType w:val="hybridMultilevel"/>
    <w:tmpl w:val="4DF65434"/>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0" w15:restartNumberingAfterBreak="0">
    <w:nsid w:val="6EC542C3"/>
    <w:multiLevelType w:val="hybridMultilevel"/>
    <w:tmpl w:val="C66CA44E"/>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1" w15:restartNumberingAfterBreak="0">
    <w:nsid w:val="6F25325C"/>
    <w:multiLevelType w:val="hybridMultilevel"/>
    <w:tmpl w:val="72464614"/>
    <w:lvl w:ilvl="0" w:tplc="ABC67BF4">
      <w:numFmt w:val="bullet"/>
      <w:lvlText w:val="•"/>
      <w:lvlJc w:val="left"/>
      <w:pPr>
        <w:ind w:left="1065" w:hanging="705"/>
      </w:pPr>
      <w:rPr>
        <w:rFonts w:ascii="Times New Roman" w:eastAsia="Times New Roman" w:hAnsi="Times New Roman" w:cs="Times New Roman"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2" w15:restartNumberingAfterBreak="0">
    <w:nsid w:val="71E531D3"/>
    <w:multiLevelType w:val="hybridMultilevel"/>
    <w:tmpl w:val="548E5F50"/>
    <w:lvl w:ilvl="0" w:tplc="0C0A000F">
      <w:start w:val="1"/>
      <w:numFmt w:val="decimal"/>
      <w:lvlText w:val="%1."/>
      <w:lvlJc w:val="left"/>
      <w:pPr>
        <w:tabs>
          <w:tab w:val="num" w:pos="720"/>
        </w:tabs>
        <w:ind w:left="720" w:hanging="360"/>
      </w:pPr>
      <w:rPr>
        <w:rFonts w:hint="default"/>
      </w:rPr>
    </w:lvl>
    <w:lvl w:ilvl="1" w:tplc="F40652C2" w:tentative="1">
      <w:start w:val="1"/>
      <w:numFmt w:val="bullet"/>
      <w:lvlText w:val=""/>
      <w:lvlJc w:val="left"/>
      <w:pPr>
        <w:tabs>
          <w:tab w:val="num" w:pos="1440"/>
        </w:tabs>
        <w:ind w:left="1440" w:hanging="360"/>
      </w:pPr>
      <w:rPr>
        <w:rFonts w:ascii="Wingdings 3" w:hAnsi="Wingdings 3" w:hint="default"/>
      </w:rPr>
    </w:lvl>
    <w:lvl w:ilvl="2" w:tplc="65F28EDC" w:tentative="1">
      <w:start w:val="1"/>
      <w:numFmt w:val="bullet"/>
      <w:lvlText w:val=""/>
      <w:lvlJc w:val="left"/>
      <w:pPr>
        <w:tabs>
          <w:tab w:val="num" w:pos="2160"/>
        </w:tabs>
        <w:ind w:left="2160" w:hanging="360"/>
      </w:pPr>
      <w:rPr>
        <w:rFonts w:ascii="Wingdings 3" w:hAnsi="Wingdings 3" w:hint="default"/>
      </w:rPr>
    </w:lvl>
    <w:lvl w:ilvl="3" w:tplc="1254A3CE" w:tentative="1">
      <w:start w:val="1"/>
      <w:numFmt w:val="bullet"/>
      <w:lvlText w:val=""/>
      <w:lvlJc w:val="left"/>
      <w:pPr>
        <w:tabs>
          <w:tab w:val="num" w:pos="2880"/>
        </w:tabs>
        <w:ind w:left="2880" w:hanging="360"/>
      </w:pPr>
      <w:rPr>
        <w:rFonts w:ascii="Wingdings 3" w:hAnsi="Wingdings 3" w:hint="default"/>
      </w:rPr>
    </w:lvl>
    <w:lvl w:ilvl="4" w:tplc="839679A0" w:tentative="1">
      <w:start w:val="1"/>
      <w:numFmt w:val="bullet"/>
      <w:lvlText w:val=""/>
      <w:lvlJc w:val="left"/>
      <w:pPr>
        <w:tabs>
          <w:tab w:val="num" w:pos="3600"/>
        </w:tabs>
        <w:ind w:left="3600" w:hanging="360"/>
      </w:pPr>
      <w:rPr>
        <w:rFonts w:ascii="Wingdings 3" w:hAnsi="Wingdings 3" w:hint="default"/>
      </w:rPr>
    </w:lvl>
    <w:lvl w:ilvl="5" w:tplc="9634B292" w:tentative="1">
      <w:start w:val="1"/>
      <w:numFmt w:val="bullet"/>
      <w:lvlText w:val=""/>
      <w:lvlJc w:val="left"/>
      <w:pPr>
        <w:tabs>
          <w:tab w:val="num" w:pos="4320"/>
        </w:tabs>
        <w:ind w:left="4320" w:hanging="360"/>
      </w:pPr>
      <w:rPr>
        <w:rFonts w:ascii="Wingdings 3" w:hAnsi="Wingdings 3" w:hint="default"/>
      </w:rPr>
    </w:lvl>
    <w:lvl w:ilvl="6" w:tplc="012433CA" w:tentative="1">
      <w:start w:val="1"/>
      <w:numFmt w:val="bullet"/>
      <w:lvlText w:val=""/>
      <w:lvlJc w:val="left"/>
      <w:pPr>
        <w:tabs>
          <w:tab w:val="num" w:pos="5040"/>
        </w:tabs>
        <w:ind w:left="5040" w:hanging="360"/>
      </w:pPr>
      <w:rPr>
        <w:rFonts w:ascii="Wingdings 3" w:hAnsi="Wingdings 3" w:hint="default"/>
      </w:rPr>
    </w:lvl>
    <w:lvl w:ilvl="7" w:tplc="35C06276" w:tentative="1">
      <w:start w:val="1"/>
      <w:numFmt w:val="bullet"/>
      <w:lvlText w:val=""/>
      <w:lvlJc w:val="left"/>
      <w:pPr>
        <w:tabs>
          <w:tab w:val="num" w:pos="5760"/>
        </w:tabs>
        <w:ind w:left="5760" w:hanging="360"/>
      </w:pPr>
      <w:rPr>
        <w:rFonts w:ascii="Wingdings 3" w:hAnsi="Wingdings 3" w:hint="default"/>
      </w:rPr>
    </w:lvl>
    <w:lvl w:ilvl="8" w:tplc="E506D85E" w:tentative="1">
      <w:start w:val="1"/>
      <w:numFmt w:val="bullet"/>
      <w:lvlText w:val=""/>
      <w:lvlJc w:val="left"/>
      <w:pPr>
        <w:tabs>
          <w:tab w:val="num" w:pos="6480"/>
        </w:tabs>
        <w:ind w:left="6480" w:hanging="360"/>
      </w:pPr>
      <w:rPr>
        <w:rFonts w:ascii="Wingdings 3" w:hAnsi="Wingdings 3" w:hint="default"/>
      </w:rPr>
    </w:lvl>
  </w:abstractNum>
  <w:abstractNum w:abstractNumId="33" w15:restartNumberingAfterBreak="0">
    <w:nsid w:val="71F76DAD"/>
    <w:multiLevelType w:val="hybridMultilevel"/>
    <w:tmpl w:val="FFC4A856"/>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34" w15:restartNumberingAfterBreak="0">
    <w:nsid w:val="789B2650"/>
    <w:multiLevelType w:val="hybridMultilevel"/>
    <w:tmpl w:val="C24C5812"/>
    <w:lvl w:ilvl="0" w:tplc="1C0A0011">
      <w:start w:val="1"/>
      <w:numFmt w:val="decimal"/>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5" w15:restartNumberingAfterBreak="0">
    <w:nsid w:val="7AA143F1"/>
    <w:multiLevelType w:val="hybridMultilevel"/>
    <w:tmpl w:val="9AE0056A"/>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6" w15:restartNumberingAfterBreak="0">
    <w:nsid w:val="7D7C586B"/>
    <w:multiLevelType w:val="hybridMultilevel"/>
    <w:tmpl w:val="8E747A70"/>
    <w:lvl w:ilvl="0" w:tplc="1C0A000F">
      <w:start w:val="1"/>
      <w:numFmt w:val="decimal"/>
      <w:lvlText w:val="%1."/>
      <w:lvlJc w:val="left"/>
      <w:pPr>
        <w:ind w:left="720" w:hanging="360"/>
      </w:p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num w:numId="1" w16cid:durableId="1556359210">
    <w:abstractNumId w:val="5"/>
  </w:num>
  <w:num w:numId="2" w16cid:durableId="843669525">
    <w:abstractNumId w:val="36"/>
  </w:num>
  <w:num w:numId="3" w16cid:durableId="1598752826">
    <w:abstractNumId w:val="4"/>
  </w:num>
  <w:num w:numId="4" w16cid:durableId="335156017">
    <w:abstractNumId w:val="35"/>
  </w:num>
  <w:num w:numId="5" w16cid:durableId="2103141718">
    <w:abstractNumId w:val="29"/>
  </w:num>
  <w:num w:numId="6" w16cid:durableId="213123108">
    <w:abstractNumId w:val="8"/>
  </w:num>
  <w:num w:numId="7" w16cid:durableId="1655645184">
    <w:abstractNumId w:val="30"/>
  </w:num>
  <w:num w:numId="8" w16cid:durableId="739068">
    <w:abstractNumId w:val="9"/>
  </w:num>
  <w:num w:numId="9" w16cid:durableId="1796605178">
    <w:abstractNumId w:val="22"/>
  </w:num>
  <w:num w:numId="10" w16cid:durableId="374281256">
    <w:abstractNumId w:val="11"/>
  </w:num>
  <w:num w:numId="11" w16cid:durableId="57172852">
    <w:abstractNumId w:val="16"/>
  </w:num>
  <w:num w:numId="12" w16cid:durableId="1635524320">
    <w:abstractNumId w:val="0"/>
  </w:num>
  <w:num w:numId="13" w16cid:durableId="366101473">
    <w:abstractNumId w:val="6"/>
  </w:num>
  <w:num w:numId="14" w16cid:durableId="1877541065">
    <w:abstractNumId w:val="15"/>
  </w:num>
  <w:num w:numId="15" w16cid:durableId="1234123717">
    <w:abstractNumId w:val="26"/>
  </w:num>
  <w:num w:numId="16" w16cid:durableId="1253515329">
    <w:abstractNumId w:val="27"/>
  </w:num>
  <w:num w:numId="17" w16cid:durableId="927278062">
    <w:abstractNumId w:val="23"/>
  </w:num>
  <w:num w:numId="18" w16cid:durableId="631440807">
    <w:abstractNumId w:val="32"/>
  </w:num>
  <w:num w:numId="19" w16cid:durableId="76024147">
    <w:abstractNumId w:val="19"/>
  </w:num>
  <w:num w:numId="20" w16cid:durableId="1530682458">
    <w:abstractNumId w:val="1"/>
  </w:num>
  <w:num w:numId="21" w16cid:durableId="287245974">
    <w:abstractNumId w:val="33"/>
  </w:num>
  <w:num w:numId="22" w16cid:durableId="830294133">
    <w:abstractNumId w:val="2"/>
  </w:num>
  <w:num w:numId="23" w16cid:durableId="349843400">
    <w:abstractNumId w:val="12"/>
  </w:num>
  <w:num w:numId="24" w16cid:durableId="320548081">
    <w:abstractNumId w:val="24"/>
  </w:num>
  <w:num w:numId="25" w16cid:durableId="1047338247">
    <w:abstractNumId w:val="14"/>
  </w:num>
  <w:num w:numId="26" w16cid:durableId="139269646">
    <w:abstractNumId w:val="34"/>
  </w:num>
  <w:num w:numId="27" w16cid:durableId="346098707">
    <w:abstractNumId w:val="3"/>
  </w:num>
  <w:num w:numId="28" w16cid:durableId="559900710">
    <w:abstractNumId w:val="17"/>
  </w:num>
  <w:num w:numId="29" w16cid:durableId="1566452867">
    <w:abstractNumId w:val="10"/>
  </w:num>
  <w:num w:numId="30" w16cid:durableId="1180847908">
    <w:abstractNumId w:val="31"/>
  </w:num>
  <w:num w:numId="31" w16cid:durableId="683095936">
    <w:abstractNumId w:val="25"/>
  </w:num>
  <w:num w:numId="32" w16cid:durableId="6830932">
    <w:abstractNumId w:val="21"/>
  </w:num>
  <w:num w:numId="33" w16cid:durableId="583027320">
    <w:abstractNumId w:val="13"/>
  </w:num>
  <w:num w:numId="34" w16cid:durableId="1976905464">
    <w:abstractNumId w:val="20"/>
  </w:num>
  <w:num w:numId="35" w16cid:durableId="1256405865">
    <w:abstractNumId w:val="7"/>
  </w:num>
  <w:num w:numId="36" w16cid:durableId="946935263">
    <w:abstractNumId w:val="28"/>
  </w:num>
  <w:num w:numId="37" w16cid:durableId="17152334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comments"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64A"/>
    <w:rsid w:val="00002D0A"/>
    <w:rsid w:val="00006A07"/>
    <w:rsid w:val="0001006B"/>
    <w:rsid w:val="00012622"/>
    <w:rsid w:val="00013EFC"/>
    <w:rsid w:val="00017F4C"/>
    <w:rsid w:val="00020277"/>
    <w:rsid w:val="00020431"/>
    <w:rsid w:val="000209EF"/>
    <w:rsid w:val="00026E49"/>
    <w:rsid w:val="000341C7"/>
    <w:rsid w:val="00035E1E"/>
    <w:rsid w:val="00040F26"/>
    <w:rsid w:val="00044DCC"/>
    <w:rsid w:val="000530C4"/>
    <w:rsid w:val="0005314A"/>
    <w:rsid w:val="000534CA"/>
    <w:rsid w:val="000547CD"/>
    <w:rsid w:val="00056340"/>
    <w:rsid w:val="000572E3"/>
    <w:rsid w:val="00057758"/>
    <w:rsid w:val="00060106"/>
    <w:rsid w:val="00060B78"/>
    <w:rsid w:val="00062B5A"/>
    <w:rsid w:val="00062FEA"/>
    <w:rsid w:val="0006680B"/>
    <w:rsid w:val="00066B4E"/>
    <w:rsid w:val="00071A0E"/>
    <w:rsid w:val="00081B22"/>
    <w:rsid w:val="00082062"/>
    <w:rsid w:val="00096912"/>
    <w:rsid w:val="00096CA6"/>
    <w:rsid w:val="000A0524"/>
    <w:rsid w:val="000A2937"/>
    <w:rsid w:val="000B15A1"/>
    <w:rsid w:val="000B27AD"/>
    <w:rsid w:val="000B4F99"/>
    <w:rsid w:val="000B4FFB"/>
    <w:rsid w:val="000B68F9"/>
    <w:rsid w:val="000B6BA9"/>
    <w:rsid w:val="000B77FA"/>
    <w:rsid w:val="000C1D2A"/>
    <w:rsid w:val="000C51ED"/>
    <w:rsid w:val="000D48E7"/>
    <w:rsid w:val="000D6C1D"/>
    <w:rsid w:val="000E15CB"/>
    <w:rsid w:val="000E4261"/>
    <w:rsid w:val="000E438F"/>
    <w:rsid w:val="000E73CC"/>
    <w:rsid w:val="000F0442"/>
    <w:rsid w:val="000F0AED"/>
    <w:rsid w:val="000F0EBB"/>
    <w:rsid w:val="000F1548"/>
    <w:rsid w:val="000F36C2"/>
    <w:rsid w:val="000F3863"/>
    <w:rsid w:val="000F393A"/>
    <w:rsid w:val="000F4563"/>
    <w:rsid w:val="001000CD"/>
    <w:rsid w:val="00100DE6"/>
    <w:rsid w:val="00100E52"/>
    <w:rsid w:val="0010306C"/>
    <w:rsid w:val="001121D8"/>
    <w:rsid w:val="0011510E"/>
    <w:rsid w:val="0012296F"/>
    <w:rsid w:val="00122A73"/>
    <w:rsid w:val="0012387B"/>
    <w:rsid w:val="001265A6"/>
    <w:rsid w:val="001310E7"/>
    <w:rsid w:val="00132190"/>
    <w:rsid w:val="001330D4"/>
    <w:rsid w:val="0013384F"/>
    <w:rsid w:val="00137010"/>
    <w:rsid w:val="00150213"/>
    <w:rsid w:val="001578B2"/>
    <w:rsid w:val="001627E9"/>
    <w:rsid w:val="001670E1"/>
    <w:rsid w:val="00171271"/>
    <w:rsid w:val="0017187C"/>
    <w:rsid w:val="00173697"/>
    <w:rsid w:val="00174B69"/>
    <w:rsid w:val="00175BEB"/>
    <w:rsid w:val="001913BB"/>
    <w:rsid w:val="0019486B"/>
    <w:rsid w:val="00197609"/>
    <w:rsid w:val="0019791C"/>
    <w:rsid w:val="001B36AD"/>
    <w:rsid w:val="001C270B"/>
    <w:rsid w:val="001C370E"/>
    <w:rsid w:val="001C522E"/>
    <w:rsid w:val="001C598A"/>
    <w:rsid w:val="001D217E"/>
    <w:rsid w:val="001D3F2E"/>
    <w:rsid w:val="001D5745"/>
    <w:rsid w:val="001D6EB8"/>
    <w:rsid w:val="001D77BE"/>
    <w:rsid w:val="001E2BE9"/>
    <w:rsid w:val="001F2C81"/>
    <w:rsid w:val="001F3AC9"/>
    <w:rsid w:val="001F7F45"/>
    <w:rsid w:val="00200E49"/>
    <w:rsid w:val="00201543"/>
    <w:rsid w:val="00202322"/>
    <w:rsid w:val="00210C82"/>
    <w:rsid w:val="00211642"/>
    <w:rsid w:val="00216BA9"/>
    <w:rsid w:val="002211F9"/>
    <w:rsid w:val="00224C16"/>
    <w:rsid w:val="00227174"/>
    <w:rsid w:val="002303B8"/>
    <w:rsid w:val="0024087F"/>
    <w:rsid w:val="00250EB5"/>
    <w:rsid w:val="00252B52"/>
    <w:rsid w:val="00255CEF"/>
    <w:rsid w:val="00257914"/>
    <w:rsid w:val="00263E40"/>
    <w:rsid w:val="00267E90"/>
    <w:rsid w:val="00270008"/>
    <w:rsid w:val="00277058"/>
    <w:rsid w:val="00280111"/>
    <w:rsid w:val="002873EB"/>
    <w:rsid w:val="00290EF8"/>
    <w:rsid w:val="002A1703"/>
    <w:rsid w:val="002A1862"/>
    <w:rsid w:val="002A5EF9"/>
    <w:rsid w:val="002B0B8C"/>
    <w:rsid w:val="002B4C62"/>
    <w:rsid w:val="002B4FAD"/>
    <w:rsid w:val="002C306B"/>
    <w:rsid w:val="002D7A8E"/>
    <w:rsid w:val="002F17F4"/>
    <w:rsid w:val="002F3BD6"/>
    <w:rsid w:val="002F562F"/>
    <w:rsid w:val="002F73D8"/>
    <w:rsid w:val="00300C33"/>
    <w:rsid w:val="00301DCE"/>
    <w:rsid w:val="00302C47"/>
    <w:rsid w:val="00313615"/>
    <w:rsid w:val="003141BB"/>
    <w:rsid w:val="00330AB8"/>
    <w:rsid w:val="00336608"/>
    <w:rsid w:val="00343951"/>
    <w:rsid w:val="003503C8"/>
    <w:rsid w:val="00350BAC"/>
    <w:rsid w:val="003511CA"/>
    <w:rsid w:val="00352C53"/>
    <w:rsid w:val="00357B74"/>
    <w:rsid w:val="00363532"/>
    <w:rsid w:val="00364F8D"/>
    <w:rsid w:val="003675AA"/>
    <w:rsid w:val="00367EAC"/>
    <w:rsid w:val="003804CD"/>
    <w:rsid w:val="00381B0D"/>
    <w:rsid w:val="00384EC0"/>
    <w:rsid w:val="003853E6"/>
    <w:rsid w:val="0038553F"/>
    <w:rsid w:val="00386715"/>
    <w:rsid w:val="00390035"/>
    <w:rsid w:val="00390EF9"/>
    <w:rsid w:val="00392004"/>
    <w:rsid w:val="00395FF4"/>
    <w:rsid w:val="003A3717"/>
    <w:rsid w:val="003B01E1"/>
    <w:rsid w:val="003C6FEB"/>
    <w:rsid w:val="003C7E2C"/>
    <w:rsid w:val="003D48E6"/>
    <w:rsid w:val="003E5DA7"/>
    <w:rsid w:val="003F1455"/>
    <w:rsid w:val="004013A1"/>
    <w:rsid w:val="0040142C"/>
    <w:rsid w:val="00403F19"/>
    <w:rsid w:val="004071F8"/>
    <w:rsid w:val="00411896"/>
    <w:rsid w:val="00420AE1"/>
    <w:rsid w:val="00421CCC"/>
    <w:rsid w:val="00423B02"/>
    <w:rsid w:val="004276A2"/>
    <w:rsid w:val="004363D9"/>
    <w:rsid w:val="0044591E"/>
    <w:rsid w:val="00446576"/>
    <w:rsid w:val="00452F09"/>
    <w:rsid w:val="0045408F"/>
    <w:rsid w:val="004547AA"/>
    <w:rsid w:val="004570B7"/>
    <w:rsid w:val="004722A7"/>
    <w:rsid w:val="004778D7"/>
    <w:rsid w:val="0048467B"/>
    <w:rsid w:val="00486F3D"/>
    <w:rsid w:val="00487464"/>
    <w:rsid w:val="00491B0B"/>
    <w:rsid w:val="004A2140"/>
    <w:rsid w:val="004B0874"/>
    <w:rsid w:val="004B7776"/>
    <w:rsid w:val="004C25B1"/>
    <w:rsid w:val="004D1EA6"/>
    <w:rsid w:val="004D52C7"/>
    <w:rsid w:val="004D5355"/>
    <w:rsid w:val="004D7548"/>
    <w:rsid w:val="004E1EAE"/>
    <w:rsid w:val="004E3C2F"/>
    <w:rsid w:val="004E77CE"/>
    <w:rsid w:val="00502BB6"/>
    <w:rsid w:val="00511F57"/>
    <w:rsid w:val="0052050F"/>
    <w:rsid w:val="00530C09"/>
    <w:rsid w:val="005313CB"/>
    <w:rsid w:val="00554438"/>
    <w:rsid w:val="00554D3C"/>
    <w:rsid w:val="00555EE2"/>
    <w:rsid w:val="00556045"/>
    <w:rsid w:val="005566F9"/>
    <w:rsid w:val="00560ABF"/>
    <w:rsid w:val="005636AF"/>
    <w:rsid w:val="00567821"/>
    <w:rsid w:val="00576398"/>
    <w:rsid w:val="00580639"/>
    <w:rsid w:val="005930DA"/>
    <w:rsid w:val="00594787"/>
    <w:rsid w:val="005948B2"/>
    <w:rsid w:val="00594E06"/>
    <w:rsid w:val="00595B1A"/>
    <w:rsid w:val="005A120D"/>
    <w:rsid w:val="005B13CE"/>
    <w:rsid w:val="005B29BB"/>
    <w:rsid w:val="005B7C81"/>
    <w:rsid w:val="005C1723"/>
    <w:rsid w:val="005C1DF0"/>
    <w:rsid w:val="005C7261"/>
    <w:rsid w:val="005D132F"/>
    <w:rsid w:val="005D2679"/>
    <w:rsid w:val="005D31F6"/>
    <w:rsid w:val="005D7EF4"/>
    <w:rsid w:val="005E2424"/>
    <w:rsid w:val="005E51B4"/>
    <w:rsid w:val="005F0076"/>
    <w:rsid w:val="005F5AC6"/>
    <w:rsid w:val="005F6C68"/>
    <w:rsid w:val="00606C03"/>
    <w:rsid w:val="00610D61"/>
    <w:rsid w:val="00611342"/>
    <w:rsid w:val="0061172F"/>
    <w:rsid w:val="006117DF"/>
    <w:rsid w:val="006120F6"/>
    <w:rsid w:val="0061216E"/>
    <w:rsid w:val="00614E49"/>
    <w:rsid w:val="00616EBB"/>
    <w:rsid w:val="0061751E"/>
    <w:rsid w:val="00620492"/>
    <w:rsid w:val="006215B0"/>
    <w:rsid w:val="00621870"/>
    <w:rsid w:val="00621984"/>
    <w:rsid w:val="00622A0A"/>
    <w:rsid w:val="00623033"/>
    <w:rsid w:val="0063615A"/>
    <w:rsid w:val="00650C2C"/>
    <w:rsid w:val="006520FC"/>
    <w:rsid w:val="006552C6"/>
    <w:rsid w:val="006602F2"/>
    <w:rsid w:val="00662348"/>
    <w:rsid w:val="006663B5"/>
    <w:rsid w:val="006769CC"/>
    <w:rsid w:val="0067701C"/>
    <w:rsid w:val="00680D29"/>
    <w:rsid w:val="00685647"/>
    <w:rsid w:val="006867EF"/>
    <w:rsid w:val="00687E43"/>
    <w:rsid w:val="0069016B"/>
    <w:rsid w:val="00692BFD"/>
    <w:rsid w:val="00695B0B"/>
    <w:rsid w:val="006A1FB9"/>
    <w:rsid w:val="006A2C4D"/>
    <w:rsid w:val="006A63B1"/>
    <w:rsid w:val="006B217E"/>
    <w:rsid w:val="006C2A4B"/>
    <w:rsid w:val="006C5362"/>
    <w:rsid w:val="006C7675"/>
    <w:rsid w:val="006D3BE2"/>
    <w:rsid w:val="006D46F3"/>
    <w:rsid w:val="006E1359"/>
    <w:rsid w:val="006E409D"/>
    <w:rsid w:val="006E4F73"/>
    <w:rsid w:val="006E5317"/>
    <w:rsid w:val="006E5765"/>
    <w:rsid w:val="006E6A80"/>
    <w:rsid w:val="006F27A7"/>
    <w:rsid w:val="00700EC4"/>
    <w:rsid w:val="00702F97"/>
    <w:rsid w:val="00711A45"/>
    <w:rsid w:val="0071380F"/>
    <w:rsid w:val="007224D1"/>
    <w:rsid w:val="007259E6"/>
    <w:rsid w:val="007312DF"/>
    <w:rsid w:val="00731B38"/>
    <w:rsid w:val="00732E15"/>
    <w:rsid w:val="00734E10"/>
    <w:rsid w:val="00734E5D"/>
    <w:rsid w:val="0073641D"/>
    <w:rsid w:val="00737E36"/>
    <w:rsid w:val="00737EA7"/>
    <w:rsid w:val="00741BDB"/>
    <w:rsid w:val="00747CF1"/>
    <w:rsid w:val="007554D2"/>
    <w:rsid w:val="00755845"/>
    <w:rsid w:val="00764AC1"/>
    <w:rsid w:val="007669B0"/>
    <w:rsid w:val="0077287A"/>
    <w:rsid w:val="00776D0B"/>
    <w:rsid w:val="007867F8"/>
    <w:rsid w:val="007870DD"/>
    <w:rsid w:val="007877B4"/>
    <w:rsid w:val="00790335"/>
    <w:rsid w:val="00790ED5"/>
    <w:rsid w:val="007925D1"/>
    <w:rsid w:val="00796A62"/>
    <w:rsid w:val="007A3F60"/>
    <w:rsid w:val="007A5221"/>
    <w:rsid w:val="007A72F2"/>
    <w:rsid w:val="007A749C"/>
    <w:rsid w:val="007B7161"/>
    <w:rsid w:val="007C0E6D"/>
    <w:rsid w:val="007C1D56"/>
    <w:rsid w:val="007C6ECF"/>
    <w:rsid w:val="007D48A3"/>
    <w:rsid w:val="007D4E2A"/>
    <w:rsid w:val="007D6275"/>
    <w:rsid w:val="007E0A2F"/>
    <w:rsid w:val="007E1432"/>
    <w:rsid w:val="007E5F50"/>
    <w:rsid w:val="008028B4"/>
    <w:rsid w:val="00802B8B"/>
    <w:rsid w:val="008060E7"/>
    <w:rsid w:val="008104E1"/>
    <w:rsid w:val="00816501"/>
    <w:rsid w:val="008209B6"/>
    <w:rsid w:val="00823F7D"/>
    <w:rsid w:val="00832104"/>
    <w:rsid w:val="008449DB"/>
    <w:rsid w:val="00847845"/>
    <w:rsid w:val="008531E7"/>
    <w:rsid w:val="0085568A"/>
    <w:rsid w:val="00857317"/>
    <w:rsid w:val="00860FE7"/>
    <w:rsid w:val="00873287"/>
    <w:rsid w:val="00881F03"/>
    <w:rsid w:val="008A0163"/>
    <w:rsid w:val="008B11F9"/>
    <w:rsid w:val="008B32C4"/>
    <w:rsid w:val="008B3AC0"/>
    <w:rsid w:val="008B74A6"/>
    <w:rsid w:val="008C579D"/>
    <w:rsid w:val="008C59A0"/>
    <w:rsid w:val="008C7F4E"/>
    <w:rsid w:val="008D37F7"/>
    <w:rsid w:val="008E0594"/>
    <w:rsid w:val="008E0906"/>
    <w:rsid w:val="008F1785"/>
    <w:rsid w:val="00902EE7"/>
    <w:rsid w:val="009111BA"/>
    <w:rsid w:val="009133A2"/>
    <w:rsid w:val="00923110"/>
    <w:rsid w:val="00923697"/>
    <w:rsid w:val="00926810"/>
    <w:rsid w:val="009278D3"/>
    <w:rsid w:val="00931212"/>
    <w:rsid w:val="00935384"/>
    <w:rsid w:val="00941565"/>
    <w:rsid w:val="00942319"/>
    <w:rsid w:val="009500C6"/>
    <w:rsid w:val="00955796"/>
    <w:rsid w:val="00955C49"/>
    <w:rsid w:val="00964968"/>
    <w:rsid w:val="009741C7"/>
    <w:rsid w:val="00974CE8"/>
    <w:rsid w:val="00975716"/>
    <w:rsid w:val="009757EC"/>
    <w:rsid w:val="0097631E"/>
    <w:rsid w:val="00977848"/>
    <w:rsid w:val="009778AA"/>
    <w:rsid w:val="0098066E"/>
    <w:rsid w:val="009861A2"/>
    <w:rsid w:val="00987C8A"/>
    <w:rsid w:val="009A006F"/>
    <w:rsid w:val="009A120C"/>
    <w:rsid w:val="009A1837"/>
    <w:rsid w:val="009A312F"/>
    <w:rsid w:val="009A41CE"/>
    <w:rsid w:val="009A4274"/>
    <w:rsid w:val="009A66D1"/>
    <w:rsid w:val="009A66FD"/>
    <w:rsid w:val="009A6DD6"/>
    <w:rsid w:val="009A6F68"/>
    <w:rsid w:val="009A7031"/>
    <w:rsid w:val="009A7AF9"/>
    <w:rsid w:val="009B2D8A"/>
    <w:rsid w:val="009B4C25"/>
    <w:rsid w:val="009B5383"/>
    <w:rsid w:val="009C5169"/>
    <w:rsid w:val="009D0323"/>
    <w:rsid w:val="009D0420"/>
    <w:rsid w:val="009D33A4"/>
    <w:rsid w:val="009E73B8"/>
    <w:rsid w:val="009F174F"/>
    <w:rsid w:val="009F1CD9"/>
    <w:rsid w:val="009F2E9B"/>
    <w:rsid w:val="00A011E1"/>
    <w:rsid w:val="00A03103"/>
    <w:rsid w:val="00A237B7"/>
    <w:rsid w:val="00A245D3"/>
    <w:rsid w:val="00A32478"/>
    <w:rsid w:val="00A408C2"/>
    <w:rsid w:val="00A441B3"/>
    <w:rsid w:val="00A451BA"/>
    <w:rsid w:val="00A45D58"/>
    <w:rsid w:val="00A46AEA"/>
    <w:rsid w:val="00A51260"/>
    <w:rsid w:val="00A51F0C"/>
    <w:rsid w:val="00A537FE"/>
    <w:rsid w:val="00A55C52"/>
    <w:rsid w:val="00A64711"/>
    <w:rsid w:val="00A66FB0"/>
    <w:rsid w:val="00A764D5"/>
    <w:rsid w:val="00A77C84"/>
    <w:rsid w:val="00A81FA7"/>
    <w:rsid w:val="00A8307B"/>
    <w:rsid w:val="00A834DA"/>
    <w:rsid w:val="00A847A4"/>
    <w:rsid w:val="00A902CE"/>
    <w:rsid w:val="00A916FE"/>
    <w:rsid w:val="00A9216A"/>
    <w:rsid w:val="00A9431E"/>
    <w:rsid w:val="00A9674D"/>
    <w:rsid w:val="00AA0FFB"/>
    <w:rsid w:val="00AA7BD8"/>
    <w:rsid w:val="00AB0533"/>
    <w:rsid w:val="00AB0625"/>
    <w:rsid w:val="00AB2B02"/>
    <w:rsid w:val="00AB39D1"/>
    <w:rsid w:val="00AC3C31"/>
    <w:rsid w:val="00AC507E"/>
    <w:rsid w:val="00AC60A4"/>
    <w:rsid w:val="00AD1DF0"/>
    <w:rsid w:val="00AD633D"/>
    <w:rsid w:val="00AD7FB1"/>
    <w:rsid w:val="00AE4C59"/>
    <w:rsid w:val="00AE528E"/>
    <w:rsid w:val="00AE7C17"/>
    <w:rsid w:val="00AF0FBB"/>
    <w:rsid w:val="00AF306D"/>
    <w:rsid w:val="00AF5E81"/>
    <w:rsid w:val="00B0452A"/>
    <w:rsid w:val="00B059FA"/>
    <w:rsid w:val="00B103D7"/>
    <w:rsid w:val="00B1517F"/>
    <w:rsid w:val="00B157A5"/>
    <w:rsid w:val="00B22BC3"/>
    <w:rsid w:val="00B23177"/>
    <w:rsid w:val="00B26603"/>
    <w:rsid w:val="00B26A8A"/>
    <w:rsid w:val="00B3529B"/>
    <w:rsid w:val="00B3730B"/>
    <w:rsid w:val="00B41AD7"/>
    <w:rsid w:val="00B5278C"/>
    <w:rsid w:val="00B56B5A"/>
    <w:rsid w:val="00B57892"/>
    <w:rsid w:val="00B6766E"/>
    <w:rsid w:val="00B70203"/>
    <w:rsid w:val="00B72548"/>
    <w:rsid w:val="00B7657E"/>
    <w:rsid w:val="00B80C32"/>
    <w:rsid w:val="00B836DB"/>
    <w:rsid w:val="00B863F7"/>
    <w:rsid w:val="00B87EC6"/>
    <w:rsid w:val="00B90D73"/>
    <w:rsid w:val="00BA14C5"/>
    <w:rsid w:val="00BA46C5"/>
    <w:rsid w:val="00BB6F4A"/>
    <w:rsid w:val="00BB7494"/>
    <w:rsid w:val="00BD131F"/>
    <w:rsid w:val="00BD42AB"/>
    <w:rsid w:val="00BF037F"/>
    <w:rsid w:val="00BF0E42"/>
    <w:rsid w:val="00BF14A6"/>
    <w:rsid w:val="00BF1EBB"/>
    <w:rsid w:val="00C00D92"/>
    <w:rsid w:val="00C102EE"/>
    <w:rsid w:val="00C1191F"/>
    <w:rsid w:val="00C12AF0"/>
    <w:rsid w:val="00C17426"/>
    <w:rsid w:val="00C174DC"/>
    <w:rsid w:val="00C22BEB"/>
    <w:rsid w:val="00C23599"/>
    <w:rsid w:val="00C264BE"/>
    <w:rsid w:val="00C32073"/>
    <w:rsid w:val="00C32659"/>
    <w:rsid w:val="00C338BE"/>
    <w:rsid w:val="00C36381"/>
    <w:rsid w:val="00C37601"/>
    <w:rsid w:val="00C40287"/>
    <w:rsid w:val="00C41A9D"/>
    <w:rsid w:val="00C4392D"/>
    <w:rsid w:val="00C46647"/>
    <w:rsid w:val="00C506FF"/>
    <w:rsid w:val="00C52FFB"/>
    <w:rsid w:val="00C53224"/>
    <w:rsid w:val="00C5670C"/>
    <w:rsid w:val="00C64E50"/>
    <w:rsid w:val="00C65604"/>
    <w:rsid w:val="00C74689"/>
    <w:rsid w:val="00C81440"/>
    <w:rsid w:val="00C84FAB"/>
    <w:rsid w:val="00C87F84"/>
    <w:rsid w:val="00C90E4D"/>
    <w:rsid w:val="00C93FB8"/>
    <w:rsid w:val="00C97C85"/>
    <w:rsid w:val="00CA4F52"/>
    <w:rsid w:val="00CA6767"/>
    <w:rsid w:val="00CA707B"/>
    <w:rsid w:val="00CB026E"/>
    <w:rsid w:val="00CB13FE"/>
    <w:rsid w:val="00CB47D9"/>
    <w:rsid w:val="00CB5111"/>
    <w:rsid w:val="00CC1CCA"/>
    <w:rsid w:val="00CC24B6"/>
    <w:rsid w:val="00CC447B"/>
    <w:rsid w:val="00CC6656"/>
    <w:rsid w:val="00CC6B44"/>
    <w:rsid w:val="00CD15F5"/>
    <w:rsid w:val="00CD4269"/>
    <w:rsid w:val="00CD6271"/>
    <w:rsid w:val="00CE1793"/>
    <w:rsid w:val="00CE2FC0"/>
    <w:rsid w:val="00CE3966"/>
    <w:rsid w:val="00CE49D7"/>
    <w:rsid w:val="00CE7992"/>
    <w:rsid w:val="00CE7A43"/>
    <w:rsid w:val="00CF02CE"/>
    <w:rsid w:val="00CF31E1"/>
    <w:rsid w:val="00CF3A6F"/>
    <w:rsid w:val="00CF7536"/>
    <w:rsid w:val="00D05DAD"/>
    <w:rsid w:val="00D1042B"/>
    <w:rsid w:val="00D128AE"/>
    <w:rsid w:val="00D25669"/>
    <w:rsid w:val="00D27E5C"/>
    <w:rsid w:val="00D3057D"/>
    <w:rsid w:val="00D37286"/>
    <w:rsid w:val="00D420FF"/>
    <w:rsid w:val="00D43E60"/>
    <w:rsid w:val="00D508D4"/>
    <w:rsid w:val="00D52F7A"/>
    <w:rsid w:val="00D60B14"/>
    <w:rsid w:val="00D61444"/>
    <w:rsid w:val="00D618F1"/>
    <w:rsid w:val="00D669B7"/>
    <w:rsid w:val="00D76C7D"/>
    <w:rsid w:val="00D77B3E"/>
    <w:rsid w:val="00D90867"/>
    <w:rsid w:val="00D971D8"/>
    <w:rsid w:val="00DB2180"/>
    <w:rsid w:val="00DB2939"/>
    <w:rsid w:val="00DB31FA"/>
    <w:rsid w:val="00DB3503"/>
    <w:rsid w:val="00DC0BC9"/>
    <w:rsid w:val="00DC4B4F"/>
    <w:rsid w:val="00DC726C"/>
    <w:rsid w:val="00DD48BE"/>
    <w:rsid w:val="00DE2552"/>
    <w:rsid w:val="00DE27AA"/>
    <w:rsid w:val="00DE78C5"/>
    <w:rsid w:val="00DF055A"/>
    <w:rsid w:val="00DF50A8"/>
    <w:rsid w:val="00DF697B"/>
    <w:rsid w:val="00E033DD"/>
    <w:rsid w:val="00E0739B"/>
    <w:rsid w:val="00E07B5F"/>
    <w:rsid w:val="00E106F6"/>
    <w:rsid w:val="00E15755"/>
    <w:rsid w:val="00E16971"/>
    <w:rsid w:val="00E217BD"/>
    <w:rsid w:val="00E246E8"/>
    <w:rsid w:val="00E25176"/>
    <w:rsid w:val="00E32308"/>
    <w:rsid w:val="00E34980"/>
    <w:rsid w:val="00E4128D"/>
    <w:rsid w:val="00E43940"/>
    <w:rsid w:val="00E43C8E"/>
    <w:rsid w:val="00E51C79"/>
    <w:rsid w:val="00E5374A"/>
    <w:rsid w:val="00E614AE"/>
    <w:rsid w:val="00E65D5B"/>
    <w:rsid w:val="00E76155"/>
    <w:rsid w:val="00E7761D"/>
    <w:rsid w:val="00E77A66"/>
    <w:rsid w:val="00E90F49"/>
    <w:rsid w:val="00EA16C1"/>
    <w:rsid w:val="00EB5816"/>
    <w:rsid w:val="00EC0855"/>
    <w:rsid w:val="00EC2541"/>
    <w:rsid w:val="00EC3666"/>
    <w:rsid w:val="00EC74EA"/>
    <w:rsid w:val="00EC7921"/>
    <w:rsid w:val="00ED3B26"/>
    <w:rsid w:val="00EE10DE"/>
    <w:rsid w:val="00EE52FF"/>
    <w:rsid w:val="00EE7A81"/>
    <w:rsid w:val="00EF064A"/>
    <w:rsid w:val="00EF316C"/>
    <w:rsid w:val="00EF4495"/>
    <w:rsid w:val="00EF7095"/>
    <w:rsid w:val="00F01941"/>
    <w:rsid w:val="00F10220"/>
    <w:rsid w:val="00F141A1"/>
    <w:rsid w:val="00F1793B"/>
    <w:rsid w:val="00F22320"/>
    <w:rsid w:val="00F31E49"/>
    <w:rsid w:val="00F34326"/>
    <w:rsid w:val="00F373E6"/>
    <w:rsid w:val="00F42390"/>
    <w:rsid w:val="00F45410"/>
    <w:rsid w:val="00F5062D"/>
    <w:rsid w:val="00F514E2"/>
    <w:rsid w:val="00F5606D"/>
    <w:rsid w:val="00F60C53"/>
    <w:rsid w:val="00F622B6"/>
    <w:rsid w:val="00F63EB0"/>
    <w:rsid w:val="00F644E5"/>
    <w:rsid w:val="00F64FAC"/>
    <w:rsid w:val="00F664D4"/>
    <w:rsid w:val="00F66ED4"/>
    <w:rsid w:val="00F7180D"/>
    <w:rsid w:val="00F71CC0"/>
    <w:rsid w:val="00F75122"/>
    <w:rsid w:val="00F802BF"/>
    <w:rsid w:val="00F832A6"/>
    <w:rsid w:val="00F8337D"/>
    <w:rsid w:val="00F9427C"/>
    <w:rsid w:val="00FA077B"/>
    <w:rsid w:val="00FA5305"/>
    <w:rsid w:val="00FA5C6F"/>
    <w:rsid w:val="00FA67BE"/>
    <w:rsid w:val="00FB26D0"/>
    <w:rsid w:val="00FB2D45"/>
    <w:rsid w:val="00FB742A"/>
    <w:rsid w:val="00FC0D25"/>
    <w:rsid w:val="00FC2787"/>
    <w:rsid w:val="00FC3879"/>
    <w:rsid w:val="00FC40E0"/>
    <w:rsid w:val="00FD23BB"/>
    <w:rsid w:val="00FF09AA"/>
    <w:rsid w:val="00FF2E3A"/>
    <w:rsid w:val="00FF36AE"/>
    <w:rsid w:val="00FF72C9"/>
    <w:rsid w:val="5B6F9EAF"/>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CB11E0"/>
  <w15:docId w15:val="{8D71A233-B86F-4EC9-8FEC-521DE89C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s-D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64A"/>
    <w:pPr>
      <w:jc w:val="left"/>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F064A"/>
    <w:pPr>
      <w:tabs>
        <w:tab w:val="center" w:pos="4419"/>
        <w:tab w:val="right" w:pos="8838"/>
      </w:tabs>
    </w:pPr>
  </w:style>
  <w:style w:type="character" w:customStyle="1" w:styleId="EncabezadoCar">
    <w:name w:val="Encabezado Car"/>
    <w:basedOn w:val="Fuentedeprrafopredeter"/>
    <w:link w:val="Encabezado"/>
    <w:uiPriority w:val="99"/>
    <w:rsid w:val="00EF064A"/>
  </w:style>
  <w:style w:type="paragraph" w:styleId="Piedepgina">
    <w:name w:val="footer"/>
    <w:basedOn w:val="Normal"/>
    <w:link w:val="PiedepginaCar"/>
    <w:uiPriority w:val="99"/>
    <w:unhideWhenUsed/>
    <w:rsid w:val="00EF064A"/>
    <w:pPr>
      <w:tabs>
        <w:tab w:val="center" w:pos="4419"/>
        <w:tab w:val="right" w:pos="8838"/>
      </w:tabs>
    </w:pPr>
  </w:style>
  <w:style w:type="character" w:customStyle="1" w:styleId="PiedepginaCar">
    <w:name w:val="Pie de página Car"/>
    <w:basedOn w:val="Fuentedeprrafopredeter"/>
    <w:link w:val="Piedepgina"/>
    <w:uiPriority w:val="99"/>
    <w:rsid w:val="00EF064A"/>
  </w:style>
  <w:style w:type="paragraph" w:styleId="Textodeglobo">
    <w:name w:val="Balloon Text"/>
    <w:basedOn w:val="Normal"/>
    <w:link w:val="TextodegloboCar"/>
    <w:uiPriority w:val="99"/>
    <w:semiHidden/>
    <w:unhideWhenUsed/>
    <w:rsid w:val="00EF064A"/>
    <w:rPr>
      <w:rFonts w:ascii="Tahoma" w:hAnsi="Tahoma" w:cs="Tahoma"/>
      <w:sz w:val="16"/>
      <w:szCs w:val="16"/>
    </w:rPr>
  </w:style>
  <w:style w:type="character" w:customStyle="1" w:styleId="TextodegloboCar">
    <w:name w:val="Texto de globo Car"/>
    <w:basedOn w:val="Fuentedeprrafopredeter"/>
    <w:link w:val="Textodeglobo"/>
    <w:uiPriority w:val="99"/>
    <w:semiHidden/>
    <w:rsid w:val="00EF064A"/>
    <w:rPr>
      <w:rFonts w:ascii="Tahoma" w:hAnsi="Tahoma" w:cs="Tahoma"/>
      <w:sz w:val="16"/>
      <w:szCs w:val="16"/>
    </w:rPr>
  </w:style>
  <w:style w:type="paragraph" w:styleId="Prrafodelista">
    <w:name w:val="List Paragraph"/>
    <w:basedOn w:val="Normal"/>
    <w:uiPriority w:val="34"/>
    <w:qFormat/>
    <w:rsid w:val="00EF064A"/>
    <w:pPr>
      <w:ind w:left="720"/>
      <w:contextualSpacing/>
    </w:pPr>
  </w:style>
  <w:style w:type="paragraph" w:styleId="NormalWeb">
    <w:name w:val="Normal (Web)"/>
    <w:basedOn w:val="Normal"/>
    <w:uiPriority w:val="99"/>
    <w:semiHidden/>
    <w:unhideWhenUsed/>
    <w:rsid w:val="003141BB"/>
    <w:pPr>
      <w:spacing w:before="100" w:beforeAutospacing="1" w:after="100" w:afterAutospacing="1"/>
    </w:pPr>
    <w:rPr>
      <w:lang w:val="es-DO" w:eastAsia="es-DO"/>
    </w:rPr>
  </w:style>
  <w:style w:type="table" w:styleId="Tablaconcuadrcula">
    <w:name w:val="Table Grid"/>
    <w:basedOn w:val="Tablanormal"/>
    <w:uiPriority w:val="39"/>
    <w:rsid w:val="00C32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B5383"/>
    <w:pPr>
      <w:jc w:val="left"/>
    </w:pPr>
    <w:rPr>
      <w:rFonts w:ascii="Times New Roman" w:eastAsia="Times New Roman" w:hAnsi="Times New Roman" w:cs="Times New Roman"/>
      <w:sz w:val="24"/>
      <w:szCs w:val="24"/>
      <w:lang w:val="es-ES" w:eastAsia="es-ES"/>
    </w:rPr>
  </w:style>
  <w:style w:type="paragraph" w:styleId="Subttulo">
    <w:name w:val="Subtitle"/>
    <w:basedOn w:val="Normal"/>
    <w:next w:val="Normal"/>
    <w:link w:val="SubttuloCar"/>
    <w:uiPriority w:val="11"/>
    <w:qFormat/>
    <w:rsid w:val="00D77B3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D77B3E"/>
    <w:rPr>
      <w:rFonts w:eastAsiaTheme="minorEastAsia"/>
      <w:color w:val="5A5A5A" w:themeColor="text1" w:themeTint="A5"/>
      <w:spacing w:val="15"/>
      <w:lang w:val="es-ES" w:eastAsia="es-ES"/>
    </w:rPr>
  </w:style>
  <w:style w:type="table" w:styleId="Tablaconcuadrculaclara">
    <w:name w:val="Grid Table Light"/>
    <w:basedOn w:val="Tablanormal"/>
    <w:uiPriority w:val="40"/>
    <w:rsid w:val="00D77B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1">
    <w:name w:val="Plain Table 1"/>
    <w:basedOn w:val="Tablanormal"/>
    <w:uiPriority w:val="41"/>
    <w:rsid w:val="00D77B3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12ofw9d">
    <w:name w:val="x12ofw9d"/>
    <w:basedOn w:val="Normal"/>
    <w:rsid w:val="003C6FEB"/>
    <w:pPr>
      <w:spacing w:before="100" w:beforeAutospacing="1" w:after="100" w:afterAutospacing="1"/>
    </w:pPr>
    <w:rPr>
      <w:lang w:val="es-DO" w:eastAsia="es-D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8410">
      <w:bodyDiv w:val="1"/>
      <w:marLeft w:val="0"/>
      <w:marRight w:val="0"/>
      <w:marTop w:val="0"/>
      <w:marBottom w:val="0"/>
      <w:divBdr>
        <w:top w:val="none" w:sz="0" w:space="0" w:color="auto"/>
        <w:left w:val="none" w:sz="0" w:space="0" w:color="auto"/>
        <w:bottom w:val="none" w:sz="0" w:space="0" w:color="auto"/>
        <w:right w:val="none" w:sz="0" w:space="0" w:color="auto"/>
      </w:divBdr>
    </w:div>
    <w:div w:id="54935178">
      <w:bodyDiv w:val="1"/>
      <w:marLeft w:val="0"/>
      <w:marRight w:val="0"/>
      <w:marTop w:val="0"/>
      <w:marBottom w:val="0"/>
      <w:divBdr>
        <w:top w:val="none" w:sz="0" w:space="0" w:color="auto"/>
        <w:left w:val="none" w:sz="0" w:space="0" w:color="auto"/>
        <w:bottom w:val="none" w:sz="0" w:space="0" w:color="auto"/>
        <w:right w:val="none" w:sz="0" w:space="0" w:color="auto"/>
      </w:divBdr>
    </w:div>
    <w:div w:id="155193438">
      <w:bodyDiv w:val="1"/>
      <w:marLeft w:val="0"/>
      <w:marRight w:val="0"/>
      <w:marTop w:val="0"/>
      <w:marBottom w:val="0"/>
      <w:divBdr>
        <w:top w:val="none" w:sz="0" w:space="0" w:color="auto"/>
        <w:left w:val="none" w:sz="0" w:space="0" w:color="auto"/>
        <w:bottom w:val="none" w:sz="0" w:space="0" w:color="auto"/>
        <w:right w:val="none" w:sz="0" w:space="0" w:color="auto"/>
      </w:divBdr>
    </w:div>
    <w:div w:id="189102824">
      <w:bodyDiv w:val="1"/>
      <w:marLeft w:val="0"/>
      <w:marRight w:val="0"/>
      <w:marTop w:val="0"/>
      <w:marBottom w:val="0"/>
      <w:divBdr>
        <w:top w:val="none" w:sz="0" w:space="0" w:color="auto"/>
        <w:left w:val="none" w:sz="0" w:space="0" w:color="auto"/>
        <w:bottom w:val="none" w:sz="0" w:space="0" w:color="auto"/>
        <w:right w:val="none" w:sz="0" w:space="0" w:color="auto"/>
      </w:divBdr>
    </w:div>
    <w:div w:id="265970628">
      <w:bodyDiv w:val="1"/>
      <w:marLeft w:val="0"/>
      <w:marRight w:val="0"/>
      <w:marTop w:val="0"/>
      <w:marBottom w:val="0"/>
      <w:divBdr>
        <w:top w:val="none" w:sz="0" w:space="0" w:color="auto"/>
        <w:left w:val="none" w:sz="0" w:space="0" w:color="auto"/>
        <w:bottom w:val="none" w:sz="0" w:space="0" w:color="auto"/>
        <w:right w:val="none" w:sz="0" w:space="0" w:color="auto"/>
      </w:divBdr>
    </w:div>
    <w:div w:id="293760701">
      <w:bodyDiv w:val="1"/>
      <w:marLeft w:val="0"/>
      <w:marRight w:val="0"/>
      <w:marTop w:val="0"/>
      <w:marBottom w:val="0"/>
      <w:divBdr>
        <w:top w:val="none" w:sz="0" w:space="0" w:color="auto"/>
        <w:left w:val="none" w:sz="0" w:space="0" w:color="auto"/>
        <w:bottom w:val="none" w:sz="0" w:space="0" w:color="auto"/>
        <w:right w:val="none" w:sz="0" w:space="0" w:color="auto"/>
      </w:divBdr>
    </w:div>
    <w:div w:id="382680812">
      <w:bodyDiv w:val="1"/>
      <w:marLeft w:val="0"/>
      <w:marRight w:val="0"/>
      <w:marTop w:val="0"/>
      <w:marBottom w:val="0"/>
      <w:divBdr>
        <w:top w:val="none" w:sz="0" w:space="0" w:color="auto"/>
        <w:left w:val="none" w:sz="0" w:space="0" w:color="auto"/>
        <w:bottom w:val="none" w:sz="0" w:space="0" w:color="auto"/>
        <w:right w:val="none" w:sz="0" w:space="0" w:color="auto"/>
      </w:divBdr>
    </w:div>
    <w:div w:id="422916150">
      <w:bodyDiv w:val="1"/>
      <w:marLeft w:val="0"/>
      <w:marRight w:val="0"/>
      <w:marTop w:val="0"/>
      <w:marBottom w:val="0"/>
      <w:divBdr>
        <w:top w:val="none" w:sz="0" w:space="0" w:color="auto"/>
        <w:left w:val="none" w:sz="0" w:space="0" w:color="auto"/>
        <w:bottom w:val="none" w:sz="0" w:space="0" w:color="auto"/>
        <w:right w:val="none" w:sz="0" w:space="0" w:color="auto"/>
      </w:divBdr>
    </w:div>
    <w:div w:id="497968419">
      <w:bodyDiv w:val="1"/>
      <w:marLeft w:val="0"/>
      <w:marRight w:val="0"/>
      <w:marTop w:val="0"/>
      <w:marBottom w:val="0"/>
      <w:divBdr>
        <w:top w:val="none" w:sz="0" w:space="0" w:color="auto"/>
        <w:left w:val="none" w:sz="0" w:space="0" w:color="auto"/>
        <w:bottom w:val="none" w:sz="0" w:space="0" w:color="auto"/>
        <w:right w:val="none" w:sz="0" w:space="0" w:color="auto"/>
      </w:divBdr>
    </w:div>
    <w:div w:id="520170932">
      <w:bodyDiv w:val="1"/>
      <w:marLeft w:val="0"/>
      <w:marRight w:val="0"/>
      <w:marTop w:val="0"/>
      <w:marBottom w:val="0"/>
      <w:divBdr>
        <w:top w:val="none" w:sz="0" w:space="0" w:color="auto"/>
        <w:left w:val="none" w:sz="0" w:space="0" w:color="auto"/>
        <w:bottom w:val="none" w:sz="0" w:space="0" w:color="auto"/>
        <w:right w:val="none" w:sz="0" w:space="0" w:color="auto"/>
      </w:divBdr>
      <w:divsChild>
        <w:div w:id="1437363715">
          <w:marLeft w:val="547"/>
          <w:marRight w:val="0"/>
          <w:marTop w:val="200"/>
          <w:marBottom w:val="0"/>
          <w:divBdr>
            <w:top w:val="none" w:sz="0" w:space="0" w:color="auto"/>
            <w:left w:val="none" w:sz="0" w:space="0" w:color="auto"/>
            <w:bottom w:val="none" w:sz="0" w:space="0" w:color="auto"/>
            <w:right w:val="none" w:sz="0" w:space="0" w:color="auto"/>
          </w:divBdr>
        </w:div>
      </w:divsChild>
    </w:div>
    <w:div w:id="575358721">
      <w:bodyDiv w:val="1"/>
      <w:marLeft w:val="0"/>
      <w:marRight w:val="0"/>
      <w:marTop w:val="0"/>
      <w:marBottom w:val="0"/>
      <w:divBdr>
        <w:top w:val="none" w:sz="0" w:space="0" w:color="auto"/>
        <w:left w:val="none" w:sz="0" w:space="0" w:color="auto"/>
        <w:bottom w:val="none" w:sz="0" w:space="0" w:color="auto"/>
        <w:right w:val="none" w:sz="0" w:space="0" w:color="auto"/>
      </w:divBdr>
    </w:div>
    <w:div w:id="628784733">
      <w:bodyDiv w:val="1"/>
      <w:marLeft w:val="0"/>
      <w:marRight w:val="0"/>
      <w:marTop w:val="0"/>
      <w:marBottom w:val="0"/>
      <w:divBdr>
        <w:top w:val="none" w:sz="0" w:space="0" w:color="auto"/>
        <w:left w:val="none" w:sz="0" w:space="0" w:color="auto"/>
        <w:bottom w:val="none" w:sz="0" w:space="0" w:color="auto"/>
        <w:right w:val="none" w:sz="0" w:space="0" w:color="auto"/>
      </w:divBdr>
    </w:div>
    <w:div w:id="863639852">
      <w:bodyDiv w:val="1"/>
      <w:marLeft w:val="0"/>
      <w:marRight w:val="0"/>
      <w:marTop w:val="0"/>
      <w:marBottom w:val="0"/>
      <w:divBdr>
        <w:top w:val="none" w:sz="0" w:space="0" w:color="auto"/>
        <w:left w:val="none" w:sz="0" w:space="0" w:color="auto"/>
        <w:bottom w:val="none" w:sz="0" w:space="0" w:color="auto"/>
        <w:right w:val="none" w:sz="0" w:space="0" w:color="auto"/>
      </w:divBdr>
    </w:div>
    <w:div w:id="1089036102">
      <w:bodyDiv w:val="1"/>
      <w:marLeft w:val="0"/>
      <w:marRight w:val="0"/>
      <w:marTop w:val="0"/>
      <w:marBottom w:val="0"/>
      <w:divBdr>
        <w:top w:val="none" w:sz="0" w:space="0" w:color="auto"/>
        <w:left w:val="none" w:sz="0" w:space="0" w:color="auto"/>
        <w:bottom w:val="none" w:sz="0" w:space="0" w:color="auto"/>
        <w:right w:val="none" w:sz="0" w:space="0" w:color="auto"/>
      </w:divBdr>
    </w:div>
    <w:div w:id="1148597690">
      <w:bodyDiv w:val="1"/>
      <w:marLeft w:val="0"/>
      <w:marRight w:val="0"/>
      <w:marTop w:val="0"/>
      <w:marBottom w:val="0"/>
      <w:divBdr>
        <w:top w:val="none" w:sz="0" w:space="0" w:color="auto"/>
        <w:left w:val="none" w:sz="0" w:space="0" w:color="auto"/>
        <w:bottom w:val="none" w:sz="0" w:space="0" w:color="auto"/>
        <w:right w:val="none" w:sz="0" w:space="0" w:color="auto"/>
      </w:divBdr>
    </w:div>
    <w:div w:id="1269048008">
      <w:bodyDiv w:val="1"/>
      <w:marLeft w:val="0"/>
      <w:marRight w:val="0"/>
      <w:marTop w:val="0"/>
      <w:marBottom w:val="0"/>
      <w:divBdr>
        <w:top w:val="none" w:sz="0" w:space="0" w:color="auto"/>
        <w:left w:val="none" w:sz="0" w:space="0" w:color="auto"/>
        <w:bottom w:val="none" w:sz="0" w:space="0" w:color="auto"/>
        <w:right w:val="none" w:sz="0" w:space="0" w:color="auto"/>
      </w:divBdr>
    </w:div>
    <w:div w:id="1300837279">
      <w:bodyDiv w:val="1"/>
      <w:marLeft w:val="0"/>
      <w:marRight w:val="0"/>
      <w:marTop w:val="0"/>
      <w:marBottom w:val="0"/>
      <w:divBdr>
        <w:top w:val="none" w:sz="0" w:space="0" w:color="auto"/>
        <w:left w:val="none" w:sz="0" w:space="0" w:color="auto"/>
        <w:bottom w:val="none" w:sz="0" w:space="0" w:color="auto"/>
        <w:right w:val="none" w:sz="0" w:space="0" w:color="auto"/>
      </w:divBdr>
      <w:divsChild>
        <w:div w:id="1142308754">
          <w:marLeft w:val="547"/>
          <w:marRight w:val="0"/>
          <w:marTop w:val="200"/>
          <w:marBottom w:val="0"/>
          <w:divBdr>
            <w:top w:val="none" w:sz="0" w:space="0" w:color="auto"/>
            <w:left w:val="none" w:sz="0" w:space="0" w:color="auto"/>
            <w:bottom w:val="none" w:sz="0" w:space="0" w:color="auto"/>
            <w:right w:val="none" w:sz="0" w:space="0" w:color="auto"/>
          </w:divBdr>
        </w:div>
      </w:divsChild>
    </w:div>
    <w:div w:id="1408310225">
      <w:bodyDiv w:val="1"/>
      <w:marLeft w:val="0"/>
      <w:marRight w:val="0"/>
      <w:marTop w:val="0"/>
      <w:marBottom w:val="0"/>
      <w:divBdr>
        <w:top w:val="none" w:sz="0" w:space="0" w:color="auto"/>
        <w:left w:val="none" w:sz="0" w:space="0" w:color="auto"/>
        <w:bottom w:val="none" w:sz="0" w:space="0" w:color="auto"/>
        <w:right w:val="none" w:sz="0" w:space="0" w:color="auto"/>
      </w:divBdr>
    </w:div>
    <w:div w:id="1424451307">
      <w:bodyDiv w:val="1"/>
      <w:marLeft w:val="0"/>
      <w:marRight w:val="0"/>
      <w:marTop w:val="0"/>
      <w:marBottom w:val="0"/>
      <w:divBdr>
        <w:top w:val="none" w:sz="0" w:space="0" w:color="auto"/>
        <w:left w:val="none" w:sz="0" w:space="0" w:color="auto"/>
        <w:bottom w:val="none" w:sz="0" w:space="0" w:color="auto"/>
        <w:right w:val="none" w:sz="0" w:space="0" w:color="auto"/>
      </w:divBdr>
    </w:div>
    <w:div w:id="1429816542">
      <w:bodyDiv w:val="1"/>
      <w:marLeft w:val="0"/>
      <w:marRight w:val="0"/>
      <w:marTop w:val="0"/>
      <w:marBottom w:val="0"/>
      <w:divBdr>
        <w:top w:val="none" w:sz="0" w:space="0" w:color="auto"/>
        <w:left w:val="none" w:sz="0" w:space="0" w:color="auto"/>
        <w:bottom w:val="none" w:sz="0" w:space="0" w:color="auto"/>
        <w:right w:val="none" w:sz="0" w:space="0" w:color="auto"/>
      </w:divBdr>
    </w:div>
    <w:div w:id="1506749168">
      <w:bodyDiv w:val="1"/>
      <w:marLeft w:val="0"/>
      <w:marRight w:val="0"/>
      <w:marTop w:val="0"/>
      <w:marBottom w:val="0"/>
      <w:divBdr>
        <w:top w:val="none" w:sz="0" w:space="0" w:color="auto"/>
        <w:left w:val="none" w:sz="0" w:space="0" w:color="auto"/>
        <w:bottom w:val="none" w:sz="0" w:space="0" w:color="auto"/>
        <w:right w:val="none" w:sz="0" w:space="0" w:color="auto"/>
      </w:divBdr>
    </w:div>
    <w:div w:id="1521427770">
      <w:bodyDiv w:val="1"/>
      <w:marLeft w:val="0"/>
      <w:marRight w:val="0"/>
      <w:marTop w:val="0"/>
      <w:marBottom w:val="0"/>
      <w:divBdr>
        <w:top w:val="none" w:sz="0" w:space="0" w:color="auto"/>
        <w:left w:val="none" w:sz="0" w:space="0" w:color="auto"/>
        <w:bottom w:val="none" w:sz="0" w:space="0" w:color="auto"/>
        <w:right w:val="none" w:sz="0" w:space="0" w:color="auto"/>
      </w:divBdr>
    </w:div>
    <w:div w:id="1531187125">
      <w:bodyDiv w:val="1"/>
      <w:marLeft w:val="0"/>
      <w:marRight w:val="0"/>
      <w:marTop w:val="0"/>
      <w:marBottom w:val="0"/>
      <w:divBdr>
        <w:top w:val="none" w:sz="0" w:space="0" w:color="auto"/>
        <w:left w:val="none" w:sz="0" w:space="0" w:color="auto"/>
        <w:bottom w:val="none" w:sz="0" w:space="0" w:color="auto"/>
        <w:right w:val="none" w:sz="0" w:space="0" w:color="auto"/>
      </w:divBdr>
    </w:div>
    <w:div w:id="1536499387">
      <w:bodyDiv w:val="1"/>
      <w:marLeft w:val="0"/>
      <w:marRight w:val="0"/>
      <w:marTop w:val="0"/>
      <w:marBottom w:val="0"/>
      <w:divBdr>
        <w:top w:val="none" w:sz="0" w:space="0" w:color="auto"/>
        <w:left w:val="none" w:sz="0" w:space="0" w:color="auto"/>
        <w:bottom w:val="none" w:sz="0" w:space="0" w:color="auto"/>
        <w:right w:val="none" w:sz="0" w:space="0" w:color="auto"/>
      </w:divBdr>
    </w:div>
    <w:div w:id="1551302681">
      <w:bodyDiv w:val="1"/>
      <w:marLeft w:val="0"/>
      <w:marRight w:val="0"/>
      <w:marTop w:val="0"/>
      <w:marBottom w:val="0"/>
      <w:divBdr>
        <w:top w:val="none" w:sz="0" w:space="0" w:color="auto"/>
        <w:left w:val="none" w:sz="0" w:space="0" w:color="auto"/>
        <w:bottom w:val="none" w:sz="0" w:space="0" w:color="auto"/>
        <w:right w:val="none" w:sz="0" w:space="0" w:color="auto"/>
      </w:divBdr>
      <w:divsChild>
        <w:div w:id="1675381571">
          <w:marLeft w:val="547"/>
          <w:marRight w:val="0"/>
          <w:marTop w:val="200"/>
          <w:marBottom w:val="0"/>
          <w:divBdr>
            <w:top w:val="none" w:sz="0" w:space="0" w:color="auto"/>
            <w:left w:val="none" w:sz="0" w:space="0" w:color="auto"/>
            <w:bottom w:val="none" w:sz="0" w:space="0" w:color="auto"/>
            <w:right w:val="none" w:sz="0" w:space="0" w:color="auto"/>
          </w:divBdr>
        </w:div>
      </w:divsChild>
    </w:div>
    <w:div w:id="1570731300">
      <w:bodyDiv w:val="1"/>
      <w:marLeft w:val="0"/>
      <w:marRight w:val="0"/>
      <w:marTop w:val="0"/>
      <w:marBottom w:val="0"/>
      <w:divBdr>
        <w:top w:val="none" w:sz="0" w:space="0" w:color="auto"/>
        <w:left w:val="none" w:sz="0" w:space="0" w:color="auto"/>
        <w:bottom w:val="none" w:sz="0" w:space="0" w:color="auto"/>
        <w:right w:val="none" w:sz="0" w:space="0" w:color="auto"/>
      </w:divBdr>
    </w:div>
    <w:div w:id="1608351094">
      <w:bodyDiv w:val="1"/>
      <w:marLeft w:val="0"/>
      <w:marRight w:val="0"/>
      <w:marTop w:val="0"/>
      <w:marBottom w:val="0"/>
      <w:divBdr>
        <w:top w:val="none" w:sz="0" w:space="0" w:color="auto"/>
        <w:left w:val="none" w:sz="0" w:space="0" w:color="auto"/>
        <w:bottom w:val="none" w:sz="0" w:space="0" w:color="auto"/>
        <w:right w:val="none" w:sz="0" w:space="0" w:color="auto"/>
      </w:divBdr>
    </w:div>
    <w:div w:id="1611428219">
      <w:bodyDiv w:val="1"/>
      <w:marLeft w:val="0"/>
      <w:marRight w:val="0"/>
      <w:marTop w:val="0"/>
      <w:marBottom w:val="0"/>
      <w:divBdr>
        <w:top w:val="none" w:sz="0" w:space="0" w:color="auto"/>
        <w:left w:val="none" w:sz="0" w:space="0" w:color="auto"/>
        <w:bottom w:val="none" w:sz="0" w:space="0" w:color="auto"/>
        <w:right w:val="none" w:sz="0" w:space="0" w:color="auto"/>
      </w:divBdr>
    </w:div>
    <w:div w:id="1660385518">
      <w:bodyDiv w:val="1"/>
      <w:marLeft w:val="0"/>
      <w:marRight w:val="0"/>
      <w:marTop w:val="0"/>
      <w:marBottom w:val="0"/>
      <w:divBdr>
        <w:top w:val="none" w:sz="0" w:space="0" w:color="auto"/>
        <w:left w:val="none" w:sz="0" w:space="0" w:color="auto"/>
        <w:bottom w:val="none" w:sz="0" w:space="0" w:color="auto"/>
        <w:right w:val="none" w:sz="0" w:space="0" w:color="auto"/>
      </w:divBdr>
    </w:div>
    <w:div w:id="1724600913">
      <w:bodyDiv w:val="1"/>
      <w:marLeft w:val="0"/>
      <w:marRight w:val="0"/>
      <w:marTop w:val="0"/>
      <w:marBottom w:val="0"/>
      <w:divBdr>
        <w:top w:val="none" w:sz="0" w:space="0" w:color="auto"/>
        <w:left w:val="none" w:sz="0" w:space="0" w:color="auto"/>
        <w:bottom w:val="none" w:sz="0" w:space="0" w:color="auto"/>
        <w:right w:val="none" w:sz="0" w:space="0" w:color="auto"/>
      </w:divBdr>
    </w:div>
    <w:div w:id="178765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FBBAE96B2A1564E920D823C0288C131" ma:contentTypeVersion="18" ma:contentTypeDescription="Crear nuevo documento." ma:contentTypeScope="" ma:versionID="66e25e8034fdd10c4e7a549c4972b25d">
  <xsd:schema xmlns:xsd="http://www.w3.org/2001/XMLSchema" xmlns:xs="http://www.w3.org/2001/XMLSchema" xmlns:p="http://schemas.microsoft.com/office/2006/metadata/properties" xmlns:ns1="http://schemas.microsoft.com/sharepoint/v3" xmlns:ns2="7115dfc0-dedc-46ee-88bd-b0a72fc534e8" xmlns:ns3="bc42a81b-ff12-407d-9a73-5e570a2669fb" targetNamespace="http://schemas.microsoft.com/office/2006/metadata/properties" ma:root="true" ma:fieldsID="f9b17ed0d894bb60f2525174ab0e47af" ns1:_="" ns2:_="" ns3:_="">
    <xsd:import namespace="http://schemas.microsoft.com/sharepoint/v3"/>
    <xsd:import namespace="7115dfc0-dedc-46ee-88bd-b0a72fc534e8"/>
    <xsd:import namespace="bc42a81b-ff12-407d-9a73-5e570a2669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Propiedades de la Directiva de cumplimiento unificado" ma:hidden="true" ma:internalName="_ip_UnifiedCompliancePolicyProperties">
      <xsd:simpleType>
        <xsd:restriction base="dms:Note"/>
      </xsd:simpleType>
    </xsd:element>
    <xsd:element name="_ip_UnifiedCompliancePolicyUIAction" ma:index="19"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15dfc0-dedc-46ee-88bd-b0a72fc53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6e699ab5-d0a1-46d4-b005-a58804273b2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42a81b-ff12-407d-9a73-5e570a2669fb"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94da8d52-9149-4199-8f9a-f79328bd01fa}" ma:internalName="TaxCatchAll" ma:showField="CatchAllData" ma:web="bc42a81b-ff12-407d-9a73-5e570a2669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c42a81b-ff12-407d-9a73-5e570a2669fb" xsi:nil="true"/>
    <lcf76f155ced4ddcb4097134ff3c332f xmlns="7115dfc0-dedc-46ee-88bd-b0a72fc534e8">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57B6B1-9C18-4216-9231-9EFA60EC1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15dfc0-dedc-46ee-88bd-b0a72fc534e8"/>
    <ds:schemaRef ds:uri="bc42a81b-ff12-407d-9a73-5e570a266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C61882-0FEA-409D-8F00-21AA91FC23E4}">
  <ds:schemaRefs>
    <ds:schemaRef ds:uri="http://schemas.microsoft.com/sharepoint/v3/contenttype/forms"/>
  </ds:schemaRefs>
</ds:datastoreItem>
</file>

<file path=customXml/itemProps3.xml><?xml version="1.0" encoding="utf-8"?>
<ds:datastoreItem xmlns:ds="http://schemas.openxmlformats.org/officeDocument/2006/customXml" ds:itemID="{72A77F46-9E4C-4F61-B28E-7D775C3C8FFB}">
  <ds:schemaRefs>
    <ds:schemaRef ds:uri="http://schemas.microsoft.com/office/2006/metadata/properties"/>
    <ds:schemaRef ds:uri="http://schemas.microsoft.com/office/infopath/2007/PartnerControls"/>
    <ds:schemaRef ds:uri="http://schemas.microsoft.com/sharepoint/v3"/>
    <ds:schemaRef ds:uri="bc42a81b-ff12-407d-9a73-5e570a2669fb"/>
    <ds:schemaRef ds:uri="7115dfc0-dedc-46ee-88bd-b0a72fc534e8"/>
  </ds:schemaRefs>
</ds:datastoreItem>
</file>

<file path=customXml/itemProps4.xml><?xml version="1.0" encoding="utf-8"?>
<ds:datastoreItem xmlns:ds="http://schemas.openxmlformats.org/officeDocument/2006/customXml" ds:itemID="{54672F93-87F6-4184-9926-DD6CDC17D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6326</TotalTime>
  <Pages>4</Pages>
  <Words>1192</Words>
  <Characters>6556</Characters>
  <Application>Microsoft Office Word</Application>
  <DocSecurity>0</DocSecurity>
  <Lines>54</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Seguro Nacional De Salud</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aortiz</dc:creator>
  <cp:lastModifiedBy>Yanet T. Fortunato Rivera</cp:lastModifiedBy>
  <cp:revision>49</cp:revision>
  <cp:lastPrinted>2026-10-13T19:03:00Z</cp:lastPrinted>
  <dcterms:created xsi:type="dcterms:W3CDTF">2024-03-05T19:08:00Z</dcterms:created>
  <dcterms:modified xsi:type="dcterms:W3CDTF">2026-10-14T13:42:00Z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0x0101000FBBAE96B2A1564E920D823C0288C131</vt:lpwstr>
  </property>
  <property fmtid="{D5CDD505-2E9C-101B-9397-08002B2CF9AE}" pid="3" name="MediaServiceImageTags">
    <vt:lpwstr/>
  </property>
</Properties>
</file>